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“Slimnīca “Ģintermuiža”” peļņas daļu par 2023.gadu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"Slimnīca “Ģintermuiža"" (turpmāk – kapitālsabiedrība) nemaksā dividendes (40 476 euro)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lemts par dividendēm no peļņas par 2023.gadu nevis par atļauju noteikt vidēja termiņa darbības stratēģijā nākamajam periodam atšķirīgu prognozējamo dividendēs izmaksājamo peļņas daļu, lūdzam rīkojuma 1. punktā atsaukties uz MK noteikumu 9.1.3. punktu, kā arī precizēt rīkojuma punktā tekstu, norādot, ka tiek noteikta atšķirīga dividendēs izmaksājamā peļņas daļa, t.i.,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projektu sekojošā redakcijā: "Valsts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0 procentu apmērā no peļņas par 2023.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"Slimnīca "Ģintermuiža"" (vienotais reģistrācijas Nr. 40003407396,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0 procentu apmērā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kapitālsabiedrības kapitāla daļu turētājai nodrošināt, ka 2023. pārskata gadā gūtā peļņa tiek novirzīta kapitālsabiedrības sniegto veselības aprūpes pakalpojumu  kvalitātes paaugstināšanai, nodrošinot ilgtermiņa attīstību pacientu rehabilitācijas vides un pakalpojumu pieejamības infrastruktūras labiekārtošanai.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spēkā esošas vidēja termiņa darbības stratēģijas, kurā būtu saplānotas konkrētas investīcijas 2024. gadam, lūdzam precizēt rīkojuma 2. punktu, t.i., norādīt, ka atstātā peļņa tiks novirzīta konkrētam investīciju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rīkojuma projekta labojumiem, kā arī norādīt finansējamā projekta kopējās izmaksas tabulas veidā par jau veikto un plānoto izpildi pa gadiem, t.sk. plānoto realizācijas grafiku, un finansēšanas avotus (pašu ieņēmumi, peļņa, aizņemtais finansējums), norādot plānoto summu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tekstu “Ja netiks saņemta Ministru kabineta piekrišana 2023. gada valstij dividendēs izmaksājamās peļņas daļas novirzīšanai investīciju veikšanai, lai ierīkotu pacientiem medicīniskās rehabilitācijas vidi, tad tas ietekmēs kapitālsabiedrības izvirzīto finanšu mērķu sasniegšanu, kā arī nemotivēs kapitālsabiedrības attīstību ierobežoto resursu apstākļos un ieekonomēto līdzekļu efektīvai ieguldīšanai.”, jo kapitālsabiedrība tiek finansēta pamatā tikai no pašu kapitāla (88%), likviditāte ir 1,6, ieguldījumu investīcijās neizpilde 2023.gadā bija 315 473 EUR, kā arī pašu kapitālā iepriekšējo gadu nesadalītā peļņa - 710 213 EUR apmērā. Tā kā nav spēkā esošas vidēja termiņa darbības stratēģijas, anotācijā minētais nav atbilstošs 2023. gada pārskatā minētajai finanšu informācijai. Peļņas sadale ir dalībnieka lēmums, ņemot vērā izvirzītos finanšu un nefinanšu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31.07.2024.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31.07.2024.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Atzinumi_24-TA-1713.docx</dc:title>
</cp:coreProperties>
</file>

<file path=docProps/custom.xml><?xml version="1.0" encoding="utf-8"?>
<Properties xmlns="http://schemas.openxmlformats.org/officeDocument/2006/custom-properties" xmlns:vt="http://schemas.openxmlformats.org/officeDocument/2006/docPropsVTypes"/>
</file>