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veidotajam nodokļu maksātāju reitingam ir tikai informatīvs raksturs, tādēļ tas nevar tikt izmantots par pamatu, lai kādam no pretendentiem radītu zināmas priekšrocības. Turklāt nodokļu maksātāju reitings tiek pārskatīts reizi trijos mēnešos, kas nozīmē, ka tas neatspoguļo aktuālo informāciju par konkrēto pretendentu. Vienlaikus norādāms, ka noteiktā 15% piedāvājuma cenas atšķirības robeža summāri var veidot ievērojamu cenas pieaugumu pasūtītājam, jo īpaši būvdarbu līguma gadījumā, tādējādi šī norma būtu vērtējama kopsakarā ar Publiskas personas finanšu līdzekļu un mantas izšķērdēšanas novēršanas likumu, kā arī šāds nosacījums ir pretrunā ar Publisko iepirkumu likuma 2.panta trešajā daļā noteikto, proti, likuma mērķis ir nodrošināt pasūtītāja līdzekļu efektīvu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Pasūtītājs pirms iepirkuma komisijas izveidošanas vai jauna locekļa iekļaušanas iepirkuma komisijā izvērtē, vai nepastāv apstākļi, kuru dēļ varētu uzskatīt, ka kāda no komisijas sastāvā iekļaujamām personām varētu pārstāvēt iespējamo kandidātu vai pretendentu intereses vai būt saistīta ar tiem šā likuma 25.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24.panta 1.</w:t>
            </w:r>
            <w:r w:rsidR="00000000" w:rsidRPr="00000000" w:rsidDel="00000000">
              <w:rPr>
                <w:vertAlign w:val="superscript"/>
                <w:rtl w:val="0"/>
              </w:rPr>
              <w:t xml:space="preserve">1</w:t>
            </w:r>
            <w:r w:rsidR="00000000" w:rsidRPr="00000000" w:rsidDel="00000000">
              <w:rPr>
                <w:rtl w:val="0"/>
              </w:rPr>
              <w:t xml:space="preserve"> panta redakcija faktiski uzdod par pienākumu pasūtītājam veikt katra iepirkuma komisijas locekļa attiecīgu pārbaudi, vienlaikus ne projektā, ne projekta sākotnējās ietekmes (ex-ante) (anotācijā) novērtējuma ziņojumā nav rodams skaidrs šīs normas īstenošanas mehānisms.Tāpat norādāms, ka to, vai kāda no komisijas sastāvā iekļautajām personām varētu pārstāvēt kandidātu vai pretendentu intereses, vai būt saistīta ar tiem Publisko iepirkumu likuma 25.panta pirmās daļas izpratnē, pasūtītājs var izvērtēt tikai uz to brīdi, kad ir iesniegti piedāvājumi un komisijai ir zināms kandidātu un pretendentu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un tā sākotnējās ietekmes (ex-ante) (anotācijā)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6.pantu paredzēts papildināt Publisko iepirkumu likuma 25.panta sesto daļu ar otro teikumu, nosakot, ka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likuma 25.panta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likuma 25. panta pirmās daļa izpratnē, veic pasākumus, lai šī situācija tiktu novērsta.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(ex-ante) novērtējuma ziņojumā (anotācijā) nav norādīts, no kādiem informācijas avotiem iepirkuma komisijas priekšsēdētājs saņems minēto informāciju, lai pārbaudītu Publisko iepirkumu likuma 25.panta pirmās daļas 1.punktā noteiktos apstākļus. 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 Vēršam uzmanību, ka attiecīgo datu pārzinis ir atbildīgs par personas datu apstrādes atbilstību Datu regulai. Datu pārzinim jābūt precīzi zināmam datu apjomam, kuru būs jāsniedz (vai kuru jādara pieejamu), lai iepirkuma komisijas priekšsēdētājs pārbaudītu vai uz kādu no komisijas sastāvā iekļaujamām personām nepastāv Publisko iepirkumu likuma 25.panta pirmās daļas 1.punktā minētie gadījumi. Ņemot vērā minēto, kā arī to, ka tiesību normai ir jābūt skaidrai un saprotamai, lai tās lietotājs un piemērotājs gūtu nepārprotamu priekšstatu par savām tiesībām, pienākumiem un juridiskām sekām, precizēt projektu, norādot informācijas apjomu, kuru iepirkuma komisijas priekšsēdētājam būs nepieciešams apstrādāt, kā arī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aizstājot projekta sākotnējās ietekmes (ex-ante) novērtējuma ziņojuma (anotācijas) 1.3.sadaļā “Pašreizējā situācija, problēmas un risinājumi” “Problēmas apraksts” vārdus “krāpniecisku pārkāpumu” ar vārdu “krāpšanu”', ņemot vērā, ka normatīvie akti neparedz tādu jēdzienu kā "krāpniecisks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1.punktu, aizstājot skaitli "21" ar skaitli "22".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Siliņš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