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Sabiedrības vajadzībām nepieciešamā nekustamā īpašuma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14.08.2026.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14.08.2026.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