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novērtējuma ziņojumā norādīts, ka jautājums par koku ciršanas tiesībām un īpašumtiesībām uz nocirstajiem kokiem ir katrā konkrētā gadījumā vērtējams jautājums, t.sk. no piemērojamā regulējuma, piemēram, vai attiecīgajā gadījumā tiek iepirkti atsevišķi mežistrādes pakalpojumi un pēc tam kā kustamā manta atsavināti jau nocirstie koki vai arī kā kustamā manta tiek izsolīti vēl nenocirstie koki. Paredzēts papildināt noteikumu 18.punktu ar jaunu 18.9. apakšpunktu, nosakot jaunu izņēmuma gadījumu, kurā nav jānoskaidro valsts iestāžu un atvasinātu publisku personu vai to iestāžu vajadzību pēc ministrijas, tās padotībā esošas iestādes vai kapitālsabiedrības valdījumā vai turējumā esošās nevajadzīgās valsts kustamās mantas, t.i., ja atsavina cirsmu kā valsts kustamo mantu un tajā iegūto produkciju. Paredzot šādu izņēmumu, ja tiek atsavināta cirsma vai tās rezultātā nocirstie koki, nebūtu attiecināmi noteikumi par citu vajadzību noskaidrošanu un attiecīgi varētu šo kustamo mantu atsavināt saskaņā ar Publiskas personas mantas atsavināšanas likumā noteikto kārtību, piemēram, rīkojot izsoli. Vienlaikus norādīts, ka minētais izņēmums neattiecas uz vienkāršu koku ciršanu, piemēram, apsaimniekošanas līguma ietvaros, bet gan cirsmas (koku) izciršanas un realizācijas tiesībām uz kokiem, piemēram, atmežojot publiskas personas nekustamo īpašumu kādā nekustamā īpašuma zemes gabala nogabalā, paredzot, ka izsoles uzvarētājs t.sk. atmežo un iegūst īpašumtiesības uz šo atmežoto mantu (kokiem).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papildu skaidrot, kas ir saprotams ar “vienkārša koku ciršana” un kāpēc izņēmums nebūtu attiecināms uz gadījumiem, kad atsavināmie koki izcirsti apsaimniekošanas pakalpojuma līguma ietvaros (ja kustamā manta nav atzīstama par utilizējamu atkritumu).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29.07.2026.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29.07.2026.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Atzinumi_26-TA-1266.docx</dc:title>
</cp:coreProperties>
</file>

<file path=docProps/custom.xml><?xml version="1.0" encoding="utf-8"?>
<Properties xmlns="http://schemas.openxmlformats.org/officeDocument/2006/custom-properties" xmlns:vt="http://schemas.openxmlformats.org/officeDocument/2006/docPropsVTypes"/>
</file>