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izglītības iestādes iesaistei projektā sadarbības partnera statusā nav ietekmes uz konkurenci un tirdzniecību Eiropas Savienības iekšējā tirgū. Finansējuma saņēmējs šo nosacījumu vērtē izglītības iestādēm, kuras atbilst saimnieciskās darbības veicēja pazīmēm  atbilstoši  kādam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20.5. apakšpunktu papildināt ar atsauci uz noteikumu projekta 58.punktu, lai nodrošinātu skaidrību, ka pirms Komercdarbības atbalsta kontroles likuma 5.pantā 4. punktā noteiktās pazīmes vērtēšanas tiks veikts izvērtējums par katru izglītības iestādi (kas nav valsts un pašvaldību profesionālas izglītības iestādes, par kurām izvērtējums sniegts anotācijā) atsevišķi, lai noteiktu, vai atbalsts tiek sniegts saimnieciskai darbībai, vērtējot, vai izglītības iestādes kopējie gada ieņēmumi nepārsniedz 50% no kopējiem gada izdevumiem. Neietverot saikni ar noteiktu izglītības iestāžu vērtēšanu atbilstoši noteikumu projekta 58.punktā noteiktajam, šobrīd noteikumu projekta 20.5. apakšpunkts nosaka, ka būtu jāizvērtē ikviens noteikumu projekta 15.1.apakšpunktā minētais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un </w:t>
            </w:r>
            <w:r w:rsidR="00000000" w:rsidRPr="00000000" w:rsidDel="00000000">
              <w:rPr>
                <w:rtl w:val="0"/>
              </w:rPr>
              <w:t xml:space="preserve">26.9.</w:t>
            </w:r>
            <w:r w:rsidR="00000000" w:rsidRPr="00000000" w:rsidDel="00000000">
              <w:rPr>
                <w:rtl w:val="0"/>
              </w:rPr>
              <w:t xml:space="preserve"> apakšpunktā minētajā atbalstāmajā darbībā iesaista mērķa grupas personas, kuras vienlaikus nav atbalsta saņēmēji kādā no šādiem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41.punktu ar pienākumu nodrošināt demarkāciju ar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ietvaros sniegto atbalstu, ņemot vērā, ka šajā pasākumā arī tiek sniegts atbalsts nodarbinātām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saņēmējs nodrošina sasniegto rezultātu – projekta ietvaros attīstītās pieaugušo izglītības īstenošanas atbalstam paredzētās prasmju pārvaldības platformas– ilgtspēju vismaz piecus gadus pēc projekta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“Pašreizējā situācija, problēmas un risinājumi” 17.lpp ar informāciju, ka noteikumu projekta 63.punktā minētās projekta ietvaros attīstītās pieaugušo izglītības īstenošanas atbalstam paredzētās prasmju pārvaldības platformas ilgtspēju pēc projekta pabeigšanas Valsts izglītības attīstības aģentūra nodrošinās tai piešķirtā finansējuma ietvaros (atbilstoši elektroniski iesūtītajai precizētajai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ietverto informāciju sadaļā "6.1.1.5.pasākumā plānotās tiešās attiecināmās izmaksu pozīcijas" par vienoto personāla izmaksu likmi un tās pamatojumu aktualizēt atbilstoši veiktajām izmaiņām likmes aprēķinā un vadošās iestādes iepriekš sniegtajiem komentāriem.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2025. gadā līdz vienošanās par projekta īstenošanu noslēgšanai ar Centrālo finanšu un līgumu aģentūru 6.1.1.5. pasākuma "Nodarbināto prasmju paaugstināšana un atbalsts kvalifikācijas iegūšanai, atbalsts darbaspēka mācībām saskaņā ar uzņēmumu pieprasījumu" (turpmāk – 6.1.1.5. pasākums) projekta īstenošanai nepieciešamo finansējumu attiecināmo izmaksu segšanai Valsts izglītības attīstības aģentūrai kā 6.1.1.5. pasākuma plānotajam finansējuma saņēmējam (turpmāk – 6.1.1.5.pasākuma finansējuma saņēmējs) līdz 258 520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3.punktā norādīto finansējuma apmēru atbilstoši anotācijas 3.sadaļas “Tiesību akta projekta ietekme uz valsts budžetu un pašvaldību budžetiem” apakšsadaļā “Cita informācija” norādītajam finansējuma apmēram, aizstājot skaitli “258 520” ar skaitli “257 901” (atbilstoši elektroniski iesūtītajam precizētajam Ministru kabineta sēdes protokollēmuma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