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apakšpunkta “Pašreizējā situācija, problēmas un risinājumi” problēmas apraksta risinājuma apraksta 3. punktu, jo tajā kļūdaini norādīts, ka no 2026. gada dabas resursu nodokļa likme derīgajiem izrakteņiem “smilts” un “smilts-grants” ir 0,55 euro/m³. Atbilstoši spēkā esošajam regulējumam 2026. gadā nodokļa likme ir 0,45 euro/m³, savukārt 0,55 euro/m³ likme piemērojama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skaidri norādīt, ka likumprojektā paredzētā nodokļa objektu “smilts” un “smilts-grants” apvienošana stājas spēkā 2027. gada 1. janvārī, kā tas noteikts likumprojekta pārejas noteikumu 52.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Štromberga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15.07.2026.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15.07.2026.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