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novembra noteikumos Nr. 1080 "Transportlīdzekļu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projektu ir secināms, ka tajā veiktas būtiskas izmaiņas salīdzinājumā ar spēkā esošajiem Ministru kabineta 2010. gada 30. novembra noteikumiem Nr. 1080 "Transportlīdzekļu reģistrācijas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svītrota vesela normatīvā akta nodaļa, kas saturēja noteiktus informācijas sniegšanas un atbilstības pienākumus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atsevišķos punktos ir dzēsti vai mainīti mērķa grupām noteiktie pienākumi, piemēram, pienākums iesniegt dokumentus, informēt iestādi vai nodrošināt kādu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pārskatītas procedūras, tajā skaitā informācijas iesniegšanas un saņemšanas kārtība, kas var būtiski mainīt administratīvās izmaksas transportlīdzekļu īpašniekiem, turētājiem vai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tiesību aktā iekļauto informācijas sniegšanas pienākumu un atbilstības prasību izmaiņu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Savukārt saskaņā ar noteikumu Nr. 617 18.</w:t>
            </w:r>
            <w:r w:rsidR="00000000" w:rsidRPr="00000000" w:rsidDel="00000000">
              <w:rPr>
                <w:vertAlign w:val="superscript"/>
                <w:rtl w:val="0"/>
              </w:rPr>
              <w:t xml:space="preserve">2 </w:t>
            </w:r>
            <w:r w:rsidR="00000000" w:rsidRPr="00000000" w:rsidDel="00000000">
              <w:rPr>
                <w:rtl w:val="0"/>
              </w:rPr>
              <w:t xml:space="preserve">punktu administratīvā sloga vērtējums ir veicams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identificēt visas izmaiņas, kas attiecas uz mērķa grupām noteiktajiem informācijas sniegšanas pienākumiem un atbilstības prasībām un veikt aprēķinus saskaņā ar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02.02.2026.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02.02.2026.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Atzinumi_25-TA-3057.docx</dc:title>
</cp:coreProperties>
</file>

<file path=docProps/custom.xml><?xml version="1.0" encoding="utf-8"?>
<Properties xmlns="http://schemas.openxmlformats.org/officeDocument/2006/custom-properties" xmlns:vt="http://schemas.openxmlformats.org/officeDocument/2006/docPropsVTypes"/>
</file>