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22-TA-3133: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Zvejas produktu ražotāju organizāciju, akvakultūras produktu ražotāju organizāciju un starpnozaru organizāciju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zvejas produktu ražotāju organizāciju, akvakultūras produktu ražotāju organizāciju un starpnozaru organizāciju atzīšanas kritērijus, atzīšanas un tās atsaukšanas kārtību, darbības nosacījumus un kontroles kārtību, kā arī institūciju, kas atzīst un kontrolē ražotāju organizācijas un starpnozaru organizācijas.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2. punktā skaidrots, ka, pamatojoties uz Lauksaimniecības un lauku atbilstības likuma 9. panta pirmajā daļā (nākotnes redakcijā) noteikto pilnvarojumu Ministru kabinetam, plānots sagatavot vairākus Ministru kabineta noteikumu projektus. Tomēr vēršam uzmanību, ka ne no noteikumu projekta teksta, ne no tā anotācijas šāds secinājums neizriet. Ievērojot minēto, lūdzam papildināt noteikumu projekta anotāciju ar izziņas 2. punktā sniegto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zvejas rajonā Baltijas jūrā un Baltijas jūras Rīgas līcī aiz piekrastes joslas (turpmāk – zvejas rajons) zvejas produktu ražotāju organizācijas biedru īpašumā vai nomā šo noteikumu 11. punktā minētā pieteikuma iesniegšanas brīdī un turpmāk katra zvejas gada sākumā (pēc stāvokļa 1. janvārī) ir vismaz 20 procentu no to zvejas kuģu kopējā skaita, kuri veic zveju attiecīgajā zvejas rajonā un ir reģistrēti Zemkopības ministrijas zvejas kuģu sarakstā. Ja kuģis tiek nomāts, nomas līgums par to ir noslēgts vismaz uz 12 mēnešiem no dienas, kad attiecīgais biedrs ir saņēmis speciālo atļauju (licenci) komercdarbībai zvejniecībā;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noteikumu projektā nodrošināt vienveidīgu un konsekventu terminoloģiju attiecībā uz to, vai iesniedzams ir iesniegums vai pieteikums (sk. tai skaitā noteikumu projekta 2.1. apakšpunktā ietverto atsauci uz noteikumu projekta 11. punktu, 11. punktu, noteikumu projekta 1. pielikuma nosaukumu u.c.). Norādām, ka atbilstoši Eiropas Parlamenta un Padomes Regulai (ES) Nr. 1379/2013 par zvejas un akvakultūras produktu tirgu kopīgo organizāciju (turpmāk - regula Nr. 1379/2013) iesniedzams ir pieteikums, kādēļ lūdzam lietot minētajā regulā izmantoto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Ražotāju ganizāciju un starpnozaru organizāciju pieņemtos darbības nosacījumus atbilstoši regulas Nr. </w:t>
            </w:r>
            <w:r w:rsidR="00000000" w:rsidRPr="00000000" w:rsidDel="00000000">
              <w:rPr>
                <w:rtl w:val="0"/>
              </w:rPr>
              <w:t xml:space="preserve">1379/2013</w:t>
            </w:r>
            <w:r w:rsidR="00000000" w:rsidRPr="00000000" w:rsidDel="00000000">
              <w:rPr>
                <w:rtl w:val="0"/>
              </w:rPr>
              <w:t xml:space="preserve"> 22. un 23.pantam ir tiesīga paplašināt: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lietot regulā Nr. 1379/2013 izmantoto terminoloģiju un noteikumu projektā konsekventi norādīt uz ražotāju organizāciju un starpnozaru organizāciju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ziņas par attiecīgo ražotāju organizāciju vai starpnozaru organizāciju, norādot tās nosaukumu un adresi;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7. punktā ietverto iebildumu un atkārtoti lūdzam noteikumu projekta 6.1. apakšpunktā norādīt vienīgi uz attiecīgās ražotāju organizācijas vai starpnozaru organizācijas nosaukumu un adresi, izvairoties no norādes uz ziņām, kas ir liekvārdība.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attiecīgās ražotāju organizācijas vai starpnozaru organizācijas nosaukumu un adresi;"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nosacījumu paplašināšanas pamatojumu, pievienojot attiecīgos datus un informāciju, ko iesniedzējs uzskata par būtisku;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kas varētu būt noteikumu projekta 6.4. apakšpunktā minētie dati un informācija, ko iesniedzējs varētu uzskatīt par būtisku, nepieciešamības gadījumā norādot piemērus.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Dienests 30 dienu laikā pēc šo noteikumu </w:t>
            </w:r>
            <w:r w:rsidR="00000000" w:rsidRPr="00000000" w:rsidDel="00000000">
              <w:rPr>
                <w:rtl w:val="0"/>
              </w:rPr>
              <w:t xml:space="preserve">6. </w:t>
            </w:r>
            <w:r w:rsidR="00000000" w:rsidRPr="00000000" w:rsidDel="00000000">
              <w:rPr>
                <w:rtl w:val="0"/>
              </w:rPr>
              <w:t xml:space="preserve">punktu</w:t>
            </w:r>
            <w:r w:rsidR="00000000" w:rsidRPr="00000000" w:rsidDel="00000000">
              <w:rPr>
                <w:rtl w:val="0"/>
              </w:rPr>
              <w:t xml:space="preserve"> minētā irsniegumā saņemšanas izvērtē attiecīgās ražotāju organizācijas vai starpnozaru organizācijastās atbilstību nosacījumu paplašināšanai saskaņā ar regulas Nr. </w:t>
            </w:r>
            <w:r w:rsidR="00000000" w:rsidRPr="00000000" w:rsidDel="00000000">
              <w:rPr>
                <w:rtl w:val="0"/>
              </w:rPr>
              <w:t xml:space="preserve">1379/2013</w:t>
            </w:r>
            <w:r w:rsidR="00000000" w:rsidRPr="00000000" w:rsidDel="00000000">
              <w:rPr>
                <w:rtl w:val="0"/>
              </w:rPr>
              <w:t xml:space="preserve"> 22. un 23. pantu un informē Zemkopības ministriju par attiecīgo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no noteikumu projekta 7. punkta redakcijas nav viennozīmīgi saprotama Lauku atbalsta dienesta (turpmāk – dienests) rīcība pēc tajā minētā iesnieguma saņemšanas. Proti, </w:t>
            </w:r>
            <w:r w:rsidR="00000000" w:rsidRPr="00000000" w:rsidDel="00000000">
              <w:rPr>
                <w:u w:val="single"/>
                <w:rtl w:val="0"/>
              </w:rPr>
              <w:t xml:space="preserve">nav saprotams, vai dienests tikai pārskata attiecīgās ražotāju organizācijas vai starpnozaru organizācijas iesniegumu un tam pievienotos dokumentus un informē Zemkopības ministriju par to, ka šāds iesniegums saņemts, vai arī pieņem lēmumu par iesniedzēja atbilstību noteikumu prasībām</w:t>
            </w:r>
            <w:r w:rsidR="00000000" w:rsidRPr="00000000" w:rsidDel="00000000">
              <w:rPr>
                <w:rtl w:val="0"/>
              </w:rPr>
              <w:t xml:space="preserve">. Skaidrojam, ka normatīvā akta tekstam jābūt skaidram, nepārprotamam un viennozīmīgam. Veidojot normatīvā akta tekstu, ne tikai jācenšas skaidri un precīzi identificēt subjektu un darbību, bet arī jāizvērtē, vai tiesību normu adresāts, lasot un interpretējot normatīvā akta tekstu, sapratīs tā mērķi (</w:t>
            </w:r>
            <w:r w:rsidR="00000000" w:rsidRPr="00000000" w:rsidDel="00000000">
              <w:rPr>
                <w:i w:val="1"/>
                <w:rtl w:val="0"/>
              </w:rPr>
              <w:t xml:space="preserve">sk. Valsts kanceleja. Normatīvo aktu projektu izstrādes rokasgrāmata, 2016. 17.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noteikumu projekta 7. punktu, nodrošinot skaidru un nepārprotamu tiesisko regulējumu, vienlaikus papildinot noteikumu projekta anotācijas 1.3. sadaļu ar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Zemkopības ministrija pēc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noteiktās informācijas saņemšanas to nosūta Eiropas Komisijai lēmuma pieņemšanai par attiecīgās ražotāju organizācijas vai starpnozaru organizācijas nosacījumu paplašināšanu saskaņā ar regulas Nr. </w:t>
            </w:r>
            <w:r w:rsidR="00000000" w:rsidRPr="00000000" w:rsidDel="00000000">
              <w:rPr>
                <w:rtl w:val="0"/>
              </w:rPr>
              <w:t xml:space="preserve">1379/2013</w:t>
            </w:r>
            <w:r w:rsidR="00000000" w:rsidRPr="00000000" w:rsidDel="00000000">
              <w:rPr>
                <w:rtl w:val="0"/>
              </w:rPr>
              <w:t xml:space="preserve"> 25. pantu. Paplašinātos darbības nosacījums ražotāju organizācija un starpnozaru organizācija  izvieto produkcijas izkraušanas vietā.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13. punktā ietverto iebildumu atkārtoti lūdzam papildināt noteikumu projekta anotāciju ar tiesību normās balstītu un izvērstu pamatojumu tam, kā, neparedzot oficiālu publikāciju, kā arī nepārņemot nacionālajā tiesību sistēmā attiecīgos paplašinātos noteikumus, tiek nodrošinātas ražotāju un tirgus dalībnieku (kuras nav ražotāju organizācijas vai starpnozaru organizācijas locekļi) tiesības zināt savas tiesības paplašināto noteikumu piemērošanas gadījumā, ņemot vērā, ka tieši dalībvalstis ar noteiktiem pasākumiem attiecīgos noteikumus var padarīt saistošus minētajiem subjektiem. Ja atbilstošu skaidrojumu nav iespējams sniegt, lūdzam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noteikumu projektā un tā anotācijā skaidrot, kādā termiņā paplašinātie darbības nosacījumi izvietojami, tai skaitā vai tie izvietojami pēc Eiropas Komisijas lēmuma (tai skaitā vai par lēmuma pieņemšanu ražotāju organizācija un starpnozaru organizācija tiek informēta) un pirms šo noteikumu piemērošanas.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saskaņā ar regulas Nr. </w:t>
            </w:r>
            <w:r w:rsidR="00000000" w:rsidRPr="00000000" w:rsidDel="00000000">
              <w:rPr>
                <w:rtl w:val="0"/>
              </w:rPr>
              <w:t xml:space="preserve">1379/2013</w:t>
            </w:r>
            <w:r w:rsidR="00000000" w:rsidRPr="00000000" w:rsidDel="00000000">
              <w:rPr>
                <w:rtl w:val="0"/>
              </w:rPr>
              <w:t xml:space="preserve"> 22. un 23. pantu attiecīgās ražotāju organizācijas vai starpnozaru organizācijas noteikumus attiecina arī uz tiem tirgus dalībniekiem, kas nav šīs organizācijas biedri, tiem piemēro regulas Nr. </w:t>
            </w:r>
            <w:r w:rsidR="00000000" w:rsidRPr="00000000" w:rsidDel="00000000">
              <w:rPr>
                <w:rtl w:val="0"/>
              </w:rPr>
              <w:t xml:space="preserve">1379/2013</w:t>
            </w:r>
            <w:r w:rsidR="00000000" w:rsidRPr="00000000" w:rsidDel="00000000">
              <w:rPr>
                <w:rtl w:val="0"/>
              </w:rPr>
              <w:t xml:space="preserve"> 24. pantā minēto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regulas Nr. 1379/2013 24. pants paredz, ka dalībvalsts var nolemt, ka tirgus dalībniekiem, kuri nav organizācijas locekļi, ir jāsedz ražotāju organizācijai vai starpnozaru organizācijai </w:t>
            </w:r>
            <w:r w:rsidR="00000000" w:rsidRPr="00000000" w:rsidDel="00000000">
              <w:rPr>
                <w:u w:val="single"/>
                <w:rtl w:val="0"/>
              </w:rPr>
              <w:t xml:space="preserve">visas izmaksas vai daļa izmaksu</w:t>
            </w:r>
            <w:r w:rsidR="00000000" w:rsidRPr="00000000" w:rsidDel="00000000">
              <w:rPr>
                <w:rtl w:val="0"/>
              </w:rPr>
              <w:t xml:space="preserve">, kuras to locekļiem radušās to noteikumu piemērošanas dēļ, kas attiecināti uz tiem tirgus dalībniekiem, kas nav organizācijas locekļi, lūdzam noteikumu projekta 9. punktā norādīt, vai ir sedzamas visas izmaksas vai kāda daļa no izmaksām ir sedzama.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Attiecīgā ražotāju organizācija un starpnozaru organizācija, kas pretendē uz atzīšanu, iesniedz dienestā iiesniegumu organizācijas atzīšanai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 un šādus dokumentus: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17. punktā ietverto iebildumu atkārtoti lūdzam saskaņā ar Līguma par Eiropas Savienības darbību 288. panta otro daļu papildināt noteikumu projektu ar regulējumu, kas 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 kas iekļaujama ražotāju organizāciju un starpnozaru organizāciju atzīšanas pieteikuma veidlapā, ir ietverta Komisijas 2013. gada 17. decembra Īstenošanas regulas (ES) Nr. 1419/2013 par ražotāju organizāciju un starpnozaru organizāciju atzīšanu, ražotāju organizāciju un starpnozaru organizāciju noteikumu paplašināšanu un sliekšņa cenu publicēšanu saskaņā ar Eiropas Parlamenta un Padomes Regulu (ES) Nr. 1379/2013 par zvejas un akvakultūras produktu tirgu kopīgo organizāciju I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ražošanas un tirdzniecības plānu forma un struktūra ir noteikta Eiropas Komisijas 2013. gada 17. decembra Īstenošanas regulas (ES) Nr. 1418/2013 par ražošanas un tirdzniecības plāniem, kas paredzēti Eiropas Parlamenta un Padomes Regulā (ES) Nr. 1379/2013 par zvejas un akvakultūras produktu tirgu kopīgo organizāciju, I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Dienests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minētajā gada ziņojumā iekļauto pasākumu izpildi izvērtē 60 dienu laikā pēc saņemšanas. Ja dienests, izvērtējot gada ziņojumu, konstatē, ka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minētajā ražošanas un tirdzniecības plānā paredzētie rādītāji ir sasniegti nepilnīgi – no 10 līdz 70 procentiem, attiecīgā ražotāju organizācija sniedz skaidrojumu par rādītāju nesasniegšanas iemeslu. Ja ražošanas un tirdzniecības plānos paredzētie rādītāji ir sasniegti mazāk nekā 10 procentu apmērā, dienests ir tiesīgs lemt par šādas ražotāju organizācijas atzīšanas atsaukšanu.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izziņas 21. punktā ietverto iebildumu. Norādām, ka regulas Nr. 1379/2013 28. panta 7. punkts neparedz dalībvalstīm noteikt konkrētus neatbilstības apmērus, balstoties uz kuriem var lemt par atzīšanas atsaukšanu, līdz ar to 14. punkta regulējums, kas šādus apmērus paredz, ir novērtējams kā šķērslis regulas tiešai piemērošanai un tādēļ ir precizējams.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Dienests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minētajā gada ziņojumā iekļauto pasākumu izpildi izvērtē 60 dienu laikā pēc saņemšanas. Ja dienests, izvērtējot gada ziņojumu, konstatē, ka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minētajā ražošanas un tirdzniecības plānā paredzētie rādītāji ir sasniegti nepilnīgi – no 10 līdz 70 procentiem, attiecīgā ražotāju organizācija sniedz skaidrojumu par rādītāju nesasniegšanas iemeslu. Ja ražošanas un tirdzniecības plānos paredzētie rādītāji ir sasniegti mazāk nekā 10 procentu apmērā, dienests ir tiesīgs lemt par šādas ražotāju organizācijas atzīšanas atsaukšanu.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noteikumu projekta 14. punkta pirmo teikumu, nosakot, ka dienests noteikumu projekta 13. punktā minētajā gada ziņojumā iekļauto pasākumu izpildi izvērtē 60 dienu laikā pēc </w:t>
            </w:r>
            <w:r w:rsidR="00000000" w:rsidRPr="00000000" w:rsidDel="00000000">
              <w:rPr>
                <w:u w:val="single"/>
                <w:rtl w:val="0"/>
              </w:rPr>
              <w:t xml:space="preserve">tā</w:t>
            </w:r>
            <w:r w:rsidR="00000000" w:rsidRPr="00000000" w:rsidDel="00000000">
              <w:rPr>
                <w:rtl w:val="0"/>
              </w:rPr>
              <w:t xml:space="preserve"> saņemšanas.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5.4. sadaļu, papildinot aili (sniedzot pamatojumu) par dalībvalsts rīcības brīvības izmantošanu, skaidrojot arī to, kādēļ ir izmantota Eiropas Savienības regulās paredzētā rīcības brīvība un kā tā ir izmantota (neaprobežojoties ar atsaucēm uz noteikumu projekta vienībām, ar kurām rīcības brīvība tiek izmantota).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Dienests 30 dienu laikā pēc šo noteikumu </w:t>
            </w:r>
            <w:r w:rsidR="00000000" w:rsidRPr="00000000" w:rsidDel="00000000">
              <w:rPr>
                <w:rtl w:val="0"/>
              </w:rPr>
              <w:t xml:space="preserve">6. </w:t>
            </w:r>
            <w:r w:rsidR="00000000" w:rsidRPr="00000000" w:rsidDel="00000000">
              <w:rPr>
                <w:rtl w:val="0"/>
              </w:rPr>
              <w:t xml:space="preserve">punktu</w:t>
            </w:r>
            <w:r w:rsidR="00000000" w:rsidRPr="00000000" w:rsidDel="00000000">
              <w:rPr>
                <w:rtl w:val="0"/>
              </w:rPr>
              <w:t xml:space="preserve"> minētā irsniegumā saņemšanas izvērtē attiecīgās ražotāju organizācijas vai starpnozaru organizācijastās atbilstību nosacījumu paplašināšanai saskaņā ar regulas Nr. </w:t>
            </w:r>
            <w:r w:rsidR="00000000" w:rsidRPr="00000000" w:rsidDel="00000000">
              <w:rPr>
                <w:rtl w:val="0"/>
              </w:rPr>
              <w:t xml:space="preserve">1379/2013</w:t>
            </w:r>
            <w:r w:rsidR="00000000" w:rsidRPr="00000000" w:rsidDel="00000000">
              <w:rPr>
                <w:rtl w:val="0"/>
              </w:rPr>
              <w:t xml:space="preserve"> 22. un 23. pantu un informē Zemkopības ministriju par attiecīgo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 108 "Normatīvo aktu projektu sagatavošanas noteikumi" 2.2. apakšpunktu lūdzam atbilstoši precizēt noteikumu projektu, piemēram, noteikumu projekta 7. punktu, novēršot tehnisku kļūdu ("organizācijastās"), tāpat līdzīgi novēršot tehniskas kļūdas arī cituviet, piemēram, 5. punkta ievaddaļā ("ganizācijas").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lēmuma projektu atbilstoši Valsts Kancelejas 2021. gada 15. oktobra vēstulē Nr. 2021-7.3.1./124-2466 "Par Ministru kabineta sēdes protokollēmumu projektu gatavošanu" 1. 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22-TA-3133</w:t>
    </w:r>
    <w:r>
      <w:br/>
    </w:r>
    <w:r w:rsidR="00000000" w:rsidRPr="00000000" w:rsidDel="00000000">
      <w:rPr>
        <w:rtl w:val="0"/>
      </w:rPr>
      <w:t xml:space="preserve">Izdrukāts 20.12.2022. 09.30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22-TA-3133</w:t>
    </w:r>
    <w:r>
      <w:br/>
    </w:r>
    <w:r w:rsidR="00000000" w:rsidRPr="00000000" w:rsidDel="00000000">
      <w:rPr>
        <w:rtl w:val="0"/>
      </w:rPr>
      <w:t xml:space="preserve">Izdrukāts 20.12.2022. 09.30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Atzinumi_22-TA-3133.docx</dc:title>
</cp:coreProperties>
</file>

<file path=docProps/custom.xml><?xml version="1.0" encoding="utf-8"?>
<Properties xmlns="http://schemas.openxmlformats.org/officeDocument/2006/custom-properties" xmlns:vt="http://schemas.openxmlformats.org/officeDocument/2006/docPropsVTypes"/>
</file>