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2.3. un 2.5. sadaļu, izvērtējot ar projektu radīto administratīvo slogu un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elektronisko plašsaziņas līdzekļu pienākumu reizi ceturksnī sniegt informāciju Nacionālajai elektronisko plašsaziņas līdzekļu padomei par fonogrammu izmantošanas proporciju radio programmās, kā arī nosaka pienākumu nodrošināt noteiktu fonogrammu īpatsvaru radio programmās. Attiecīgi lūdzam izvērtēt gan administratīvo slogu, ko rada informācijas sniegšanas prasība, gan atbilstības prasības, ko rada noteiktās fonogrammu izmantošanas proporcijas.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 sadaļā norādītais skaidrojums par administratīvā sloga monetārā novērtējuma veikšanu Ministru kabineta noteikumu projektā ir pārceļams uz anotācijas 2.3. sadaļu. Administratīvā sloga monetāro novērtējumu saistītajā Ministru kabineta noteikumu projektā var veikt gadījumā, ja likumprojekta izstrādes stadijā vēl nav pietiekami zināms informācijas sniegšanas pienākuma saturs un apjoms. Vienlaikus šajā likumprojektā jau ir noteikti administratīvā sloga pamatelementi – informācijas sniegšanas pienākuma adresāti, informācijas iesniegšanas biežums (reizi ceturksnī) un informācijas sniegšanas mērķis, tādēļ anotācijas 2.3. sadaļā ir nepieciešams atspoguļot šādu pieeju un pamatot, kāpēc monetārais novērtējums tiks veikts saistītajā Ministru kabineta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un atbilstības prasību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