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Latviešu vēsturisko zemju un kultūrtelpu attīstības plāns 2022.-2027.gadam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iekārtas likuma 2.pantā noteikto, proti, Ministru kabinets ir koleģiāla institūcija, kas ar tam padoto valsts pārvaldes iestāžu starpniecību īsteno izpildvaru, kā arī iepriekšminētā likuma 3.pantā noteikto Ministru kabineta kompetenci  apspriest vai izlemt visas lietas, kuras ietilpst tā kompetencē saskaņā ar Latvijas Republikas Satversmi, starptautisko tiesību normām un likumiem, lūdzam plāna projekta 2.2.1. pasākumā Ministru kabinetu nenoteikt kā līdzatbildīgo institūciju.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plāna projekta 2.2.2.pasākumā ietverto darbību - pārvaldes dokumentu grozīšanu - leģitimitāti, ņemot vērā, ka normatīvajā regulējumā nav noteikts šāds dokumentu veids.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06.12.2022. 20.50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06.12.2022. 20.50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Atzinumi_22-TA-3234.docx</dc:title>
</cp:coreProperties>
</file>

<file path=docProps/custom.xml><?xml version="1.0" encoding="utf-8"?>
<Properties xmlns="http://schemas.openxmlformats.org/officeDocument/2006/custom-properties" xmlns:vt="http://schemas.openxmlformats.org/officeDocument/2006/docPropsVTypes"/>
</file>