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(Izziņa_25-TA-3014_par_4finance AS_iebildumu)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atkārtoti norāda, ka atbilstoši ziņojumam ārpus LB finanšu sektora uzraudzības paliek ārpustiesas parādu atgūšanas pakalpojumu sniedzēji. Tādējādi reformas tvērums ir nepilnīgs un joprojām paredz saglabāt uzraudzības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atbilstoši papildināt informatīvo ziņojumu, skaidri nosakot tajā turpmāko uzraudzības modeli ārpustiesas parādu atgūšanas pakalpojumu sniedzējiem, lai nodrošinātu konsekventu un vienotu uzraudzības sistēmu finanšu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norāda, ka Informatīvā ziņojuma aktualizētajā redakcijā ir ietverta informācija par Latvijas Bankas uzsākto tematisko sarunu ciklu ar nozares pārstāvju iesaisti, izveidojot piecas tematiskās darba grupas, taču Ziņojumā nav atspoguļoti tematisko darba grupu sarunu rezultāti, tai skaitā darba grupas galvenie secinājumi, identificētās problēmas un iespējamie risinājumi, kā tieši tiks veidots jaunais uzraudzības ietvars un kādas konkrētas izmaiņas uzņēmumiem būs jāievieš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Ziņojumu papildināt ar tematisko darba grupu diskusiju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19.02.2026.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19.02.2026.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