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 jaunatnes dialoga īstenošanas, koordinēšanas un finansēšanas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2026. gada 1. aprīlī.</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un precizēt noteikumu spēkā stāšanās laiku, jo tas jau ir pagājis.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jaunatnes dialoga ciklu veido šādi posmi: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Nacionālā jaunatnes dialoga cikla ietvaros konsultēties/prezentēt rezultātus arī Jaunatnes konsultatīvajai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definēt terminu "jauniešu ar ierobežotām iespējām" Jaunatnes likumā nevis Ministru kabineta noteikumos, kas attiecas tikai uz Nacionālā jaunatnes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09.04.2026.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09.04.2026.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Atzinumi_26-TA-507.docx</dc:title>
</cp:coreProperties>
</file>

<file path=docProps/custom.xml><?xml version="1.0" encoding="utf-8"?>
<Properties xmlns="http://schemas.openxmlformats.org/officeDocument/2006/custom-properties" xmlns:vt="http://schemas.openxmlformats.org/officeDocument/2006/docPropsVTypes"/>
</file>