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papildināts ar jaunu 6. punktu par jauna horizontālā principa "Vienlīdzība, iekļaušana, nediskriminācija un pamattiesību ievērošana" rādītāja uzkrāšanu, tad lūdzam papildināt anotācijas 1.3. sadaļu “Pašreizējā situācija, problēmas un risinājumi” ar skaidrojumu, kāpēc šāds punkts iekļauts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 ir papildināta ar informāciju par to, ka Eiropas Komisija 2025. gada 16. decembrī ir pieņēmusi Lēmumu (ES) 2025/2630. Vēršam uzmanību, ka atbilstoši Lēmuma (ES) 2025/2630 pārejas noteikumiem (9. panta a) punkts) atbalsta shēmas, kas stājās spēkā pirms jaunā lēmuma spēkā stāšanās un bija saderīgas ar Eiropas Savienības iekšējo tirgu un atbrīvotas no paziņošanas pienākuma saskaņā ar Lēmumu (ES) 2012/21/ES, arī turpmāk ir saderīgas ar iekšējo tirgu un atbrīvotas no paziņošanas prasības vēl divu gadu laikposmā pēc šā lēmuma stāšanās spēkā, t.i., līdz 2028. gada 7. janvārim. Neskatoties uz jauno regulējumu, saderības ar ES iekšējo tirgu pamatnosacījumi nav konceptuāli mainīti, proti, gan Lēmums (ES) 2012/21/ES, gan Lēmums (ES) 2025/2630 balstās uz tiem pašiem principiem, un jaunais lēmums būtiski nepārskata šos principus, bet tikai precizē terminoloģiju un atsevišķus aspektus, piemēram, pilnvarojuma satura prasības un atsevišķu vispārējas tautsaimniecības nozīmes pakalpojuma kategoriju definīcijas. Lai būtu skaidrs, ka, </w:t>
            </w:r>
            <w:r w:rsidR="00000000" w:rsidRPr="00000000" w:rsidDel="00000000">
              <w:rPr>
                <w:u w:val="single"/>
                <w:rtl w:val="0"/>
              </w:rPr>
              <w:t xml:space="preserve">neveicot grozījumus MK noteikumos</w:t>
            </w:r>
            <w:r w:rsidR="00000000" w:rsidRPr="00000000" w:rsidDel="00000000">
              <w:rPr>
                <w:rtl w:val="0"/>
              </w:rPr>
              <w:t xml:space="preserve">, atbalstu programmas ietvaros saskaņā ar Lēmumu (ES) 2012/21/ES var saņemt arī subjekti, kam noslēgts pilnvarojuma akts ar Lēmumu (ES) 2025/2630, aicinām anotācijā iekļaut atrunu, ka atbalstu saskaņā ar Lēmumu (ES) 2012/21/ES var saņemt arī subjekti, kam noslēgts pilnvarojuma akts ar Lēmumu (ES) 2025/2630, ievērojot noteikumos ietvertos atbalsta nosacījumus un nosacījumus, kas izriet no Lēmuma (ES) 2012/21/ES, un atsauces neesamība pilnvarojuma aktā uz Lēmumu (ES) 2012/21/ES nav šķērslis, lai piešķirtu atbalstu saskaņā ar Lēmumu (ES) 2012/21/ES. Taču, ja plānots, ka gadījumos, kad pilnvarojuma akts noslēgts atbilstoši Lēmumam (ES) 2025/2630, atbalstu piešķirs ar Lēmumu (ES) 2025/2630, tad lūgums </w:t>
            </w:r>
            <w:r w:rsidR="00000000" w:rsidRPr="00000000" w:rsidDel="00000000">
              <w:rPr>
                <w:u w:val="single"/>
                <w:rtl w:val="0"/>
              </w:rPr>
              <w:t xml:space="preserve">veikt precizējumus MK noteikumos </w:t>
            </w:r>
            <w:r w:rsidR="00000000" w:rsidRPr="00000000" w:rsidDel="00000000">
              <w:rPr>
                <w:rtl w:val="0"/>
              </w:rPr>
              <w:t xml:space="preserve">un sniegt atbilstošu skaidrojumu anotācijā, skaidri nosakot, kuros gadījumos atbalstu piešķirs atbilstoši Lēmumam Nr.2012/21/ES un kuros – atbilstoši jaunajam Lēmumam Nr. 2025/2630 (atkarībā no tā, ar kuru Lēmumu pilnvarojuma akts). Piemēram, tad MK noteikumu 36.7.punkts būtu papildināms ar tekstu ‘(izņemot, ja pilnvarojum akts ir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un jāsniedz skaidrojums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04.02.2026.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04.02.2026.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Atzinumi_25-TA-2882.docx</dc:title>
</cp:coreProperties>
</file>

<file path=docProps/custom.xml><?xml version="1.0" encoding="utf-8"?>
<Properties xmlns="http://schemas.openxmlformats.org/officeDocument/2006/custom-properties" xmlns:vt="http://schemas.openxmlformats.org/officeDocument/2006/docPropsVTypes"/>
</file>