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88.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 uztur savu iepriekš sniegto viedokli un aicina pārskatīt piedāvāto grozījumu redakciju, jo tieši Valsts pārvaldes iekārtas likuma 88.panta pirmajā daļā nostiprinātā tirgus nepilnības klauzula primāri liedz izmantot valsts kapitāla potenciālu un iegūt optimālo labumu no valsts kapitālsabiedrību (turpmāk – VKS)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attīstītās kaimiņvalstīs kā leģitīms valsts līdzdalības mērķis darbībai privāto tiesību jomā būtu nosakāms mērķis VKS strādāt tā, lai ilgtermiņā nezaudētu pārvaldāmā valsts kapitāla vērtību un lai to pārvaldītu efektīvi, ienesīgi un ilgtspējīgi (skat. kā piemēru Zviedrijas 2020.gada valdības izstrādāto VKS politiku un VKS darbības principus, https://www.government.se/reports/2020/07/state-ownership-policy-and-principles-for-state-owned-enterprises-2020/).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prakse atbilstu arī 2024.gada maijā papildinātajās OECD Rekomendācijās VKS korporatīvajai pārvaldībai (OECD "Recommendation of the Council on Guidelines on Corporate Governance of State-Owned Enterprises", https://legalinstruments.oecd.org/en/instruments/OECD-LEGAL-0414) noteiktajam, ka "Valsts kā valsts kapitālsabiedrību īpašnieka īpašumtiesību galīgajam mērķim vajadzētu būt maksimāli palielināt valsts kapitālsabiedrību ilgtermiņa vērtību sabiedrībai efektīvā un ilgtspējīgā veidā" (princips I.A). Papildus pieminams, ka lai nodrošinātos, ka VKS darbība privāto tiesību jomā nekropļotu tirgu un konkurenci tajā, VKS ir pienākums ievērot augstākos korporatīvās pārvaldības standartus (piemēram, ievērojot OECD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AS "Latvenergo" sniegtajā viedoklī tika piedāvāta radikāli koriģēta Valsts pārvaldes iekārtas likuma 88.panta pirmās daļas redakcija. Ņemot vērā augstāk minēto, kā arī iepriekš AS "Latvenergo" sniegtajā viedoklī pausto argumentāciju, aicinām apstiprināt kompromisa piedāvājumu – papildināt Valsts pārvaldes iekārtas likuma 88.panta pirmo daļu ar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Valsts pārvaldes iekārtas likuma 88.panta pirmo daļu ar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publiskas personas kapitālsabiedrības vai publisku personu kontrolētas kapitālsabiedrības darbības rezultātā tiek ilgtspējīgi, efektīvi, atbildīgi izmantoti publiskas personas resursi, lai ilgtermiņā maksimāli palielinātu to vērtību sabiedrības interesēs, vienlaicīgi ievērojot konkurences neitralitātes pamatprincipus.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Valtere (Latvenergo)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10.09.2024.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10.09.2024.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