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ietekmes uz vidi novērtējumu"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ASSETS nesaskaņo likumprojektu, kā arī pievienojas Baltijas ogļūdeņražu izpētes un ieguves asociācijas iebildumiem un priekšlikumiem un atkārtoti  lūdz tos ņemt vērā.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11.03.2025.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11.03.2025.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