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3. februāra noteikumos Nr. 59 "Valsts un Eiropas Savienības atbalsta piešķiršanas kārtība investīciju veicināšanai lauksaimniecībā"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norādīto summu intervencei LA4.1.6 "Atbalsts subsīdijas veidā procentu likmes daļējai dzēšanai", lai tā atbilstu anotācijas 3.sadaļā sniegtajai informācijai, proti, norādot 9 764 673 </w:t>
            </w:r>
            <w:r w:rsidR="00000000" w:rsidRPr="00000000" w:rsidDel="00000000">
              <w:rPr>
                <w:i w:val="1"/>
                <w:rtl w:val="0"/>
              </w:rPr>
              <w:t xml:space="preserve">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grozījumus Komisijas regulā Nr. 1408/2013, kas izriet no grozījumiem Komisijas regulā Nr. 1408/2013 saskaņā ar Komisijas Regulu (ES) 2024/3118 (2024. gada 10. decembris), ar ko groza Regulu (ES) Nr. 1408/2013 par Līguma par Eiropas Savienības darbību 107. un 108. panta piemērošanu de minimis atbalstam lauksaimniecības nozarē, lūdzam izvērtēt nepieciešamību papildināt anotāciju ar informāciju un piemēru, kā nosakāms trīs gadu laika posms, norādot, ka ar trīs gadu periodu saprotams laika periods no konkrēta datuma, kad piešķirts pēdējais atbalsts līdz konkrētam datumam, kas ir jaunā piešķiramā atbalsta datums, piemēram, ja jaunā atbalsta piešķiršanas datums ir 2024. gada 18. jūnijs, trīs gadu periods būs skaitāms līdz 2021. gada 18. jūnijam.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3.sadaļas 2.1.apakšpunktā 2025.gadam ailē "saskaņā ar valsts budžetu kārtējam gadam" sniegto informāciju, norādot apmēru 34 000 000.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Informāciju par piešķirto </w:t>
            </w:r>
            <w:r w:rsidR="00000000" w:rsidRPr="00000000" w:rsidDel="00000000">
              <w:rPr>
                <w:i w:val="1"/>
                <w:rtl w:val="0"/>
              </w:rPr>
              <w:t xml:space="preserve">de minimis</w:t>
            </w:r>
            <w:r w:rsidR="00000000" w:rsidRPr="00000000" w:rsidDel="00000000">
              <w:rPr>
                <w:rtl w:val="0"/>
              </w:rPr>
              <w:t xml:space="preserve"> atbalstu saskaņā ar Komisijas 2023. gada 13. decembra Regulu (ES) </w:t>
            </w:r>
            <w:r w:rsidR="00000000" w:rsidRPr="00000000" w:rsidDel="00000000">
              <w:rPr>
                <w:rtl w:val="0"/>
              </w:rPr>
              <w:t xml:space="preserve">​</w:t>
            </w:r>
            <w:r w:rsidR="00000000" w:rsidRPr="00000000" w:rsidDel="00000000">
              <w:rPr>
                <w:rtl w:val="0"/>
              </w:rPr>
              <w:t xml:space="preserve">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sērijas Nr. L) (turpmāk – Komisijas regula </w:t>
            </w:r>
            <w:r w:rsidR="00000000" w:rsidRPr="00000000" w:rsidDel="00000000">
              <w:rPr>
                <w:rtl w:val="0"/>
              </w:rPr>
              <w:t xml:space="preserve">​</w:t>
            </w:r>
            <w:r w:rsidR="00000000" w:rsidRPr="00000000" w:rsidDel="00000000">
              <w:rPr>
                <w:rtl w:val="0"/>
              </w:rPr>
              <w:t xml:space="preserve">2023/2831), Komisijas 2013. gada 18. decembra Regulu (EK)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 (turpmāk – Komisijas regula Nr. 1408/2013) vai Komisijas 2014. gada 27. jūnija Regulu (EK)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(Eiropas Savienības Oficiālais Vēstnesis, 2014. gada 28. jūnijs, Nr. L 190) (turpmāk – Komisijas regula Nr. 717/2014) atbalsta saņēmējs glabā 10 gadus no atbalsta saņemšanas dienas. Pieejamību dokumentiem, kas saistīti ar piešķirto atbalstu saskaņā ar Komisijas 2022. gada 14. decembra Regulu (ES) 2022/2472, ar kuru, piemērojot Līguma par Eiropas Savienības darbību 107. un 108. pantu, dažu kategoriju atbalstu lauksaimniecības un mežsaimniecības nozarē un lauku apvidos atzīst par saderīgu ar iekšējo tirgu (Dokuments attiecas uz EEZ) (Eiropas Savienības Oficiālais Vēstnesis, 2022. gada 21. decembris, Nr. L 327) (turpmāk – regula 2022/2472), atbalsta saņēmējs nodrošina vismaz 10 gadus no atbalsta saņemšanas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atbalsta saņēmēja informācija atbalsta saņēmējam atbilstoši Regulas 2023/2831 6.panta 3.punktam ir jāglabā 10 gadi no atbalsta </w:t>
            </w:r>
            <w:r w:rsidR="00000000" w:rsidRPr="00000000" w:rsidDel="00000000">
              <w:rPr>
                <w:b w:val="1"/>
                <w:rtl w:val="0"/>
              </w:rPr>
              <w:t xml:space="preserve">piešķiršanas</w:t>
            </w:r>
            <w:r w:rsidR="00000000" w:rsidRPr="00000000" w:rsidDel="00000000">
              <w:rPr>
                <w:rtl w:val="0"/>
              </w:rPr>
              <w:t xml:space="preserve">, nevis atbalsta saņemšanas dienas, tādējādi lūdzam atbilstoši precizēt noteikumu projekta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Lauku atbalsta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noteikumu projektā ir jābūt noteiktam, ka de minimis atbalsta piešķiršana un uzskaite tiek veikta saskaņā ar normatīvajiem aktiem par de minimis atbalsta uzskaites un piešķiršanas kārtību. Līdz ar to aicinām precizēt noteikumu projektu un papildināt to ar normu, ka Lauku atbalsta dienests nodrošina, ka de minimis atbalsta piešķiršana un uzskaite tiek veikta saskaņā ar normatīvajiem aktiem par de minimis atbalsta uzskaites un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saskaņā ar normatīvajiem aktiem par valsts un Eiropas Savienības atbalsta piešķiršanas, administrēšanas un uzraudzības vispārējo kārtību lauku un zivsaimniecības attīstībai izvērtē pretendenta iesnieguma atbilstību šajos noteikumos minētajām prasībām un pieņem lēmumu par iesnieguma apstiprināšanu (iesnieguma apstiprināšanas diena uzskatāma par valsts atbalsta piešķiršanas dienu) vai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ir ievēroti Komisijas regulas Nr. 2023/2831 nosacījumi aicinām šajos noteikumos iekļaut arī informāciju par to, ka Lauku atbalsta dienests, ievērojot De minimis Komisijas regulas Nr. 2023/2831 nosacījumus, veic pretendenta izvērtēšanu uz atbalsta piešķiršanas brīdi, piem., šādā ierosinātajā redakcijā: "Lauku atbalsta dienests veic atbalsta pretendenta izvērtēšanu atbilstoši Komisijas regulas Nr. 2023/2831 nosacījumiem uz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atbilstība de minimis nosacījumiem ir jāveic uz de minimis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ievērojot Komisijas regulas </w:t>
            </w:r>
            <w:r w:rsidR="00000000" w:rsidRPr="00000000" w:rsidDel="00000000">
              <w:rPr>
                <w:rtl w:val="0"/>
              </w:rPr>
              <w:t xml:space="preserve">​</w:t>
            </w:r>
            <w:r w:rsidR="00000000" w:rsidRPr="00000000" w:rsidDel="00000000">
              <w:rPr>
                <w:rtl w:val="0"/>
              </w:rPr>
              <w:t xml:space="preserve">2023/2831 5. panta 1., 2. un 3. punkta vai Komisijas regulas Nr. </w:t>
            </w:r>
            <w:r w:rsidR="00000000" w:rsidRPr="00000000" w:rsidDel="00000000">
              <w:rPr>
                <w:rtl w:val="0"/>
              </w:rPr>
              <w:t xml:space="preserve">717/2014</w:t>
            </w:r>
            <w:r w:rsidR="00000000" w:rsidRPr="00000000" w:rsidDel="00000000">
              <w:rPr>
                <w:rtl w:val="0"/>
              </w:rPr>
              <w:t xml:space="preserve"> 5. panta 1., 2. un 3. punkta, vai Komisijas regulas Nr. </w:t>
            </w:r>
            <w:r w:rsidR="00000000" w:rsidRPr="00000000" w:rsidDel="00000000">
              <w:rPr>
                <w:rtl w:val="0"/>
              </w:rPr>
              <w:t xml:space="preserve">1408/2013</w:t>
            </w:r>
            <w:r w:rsidR="00000000" w:rsidRPr="00000000" w:rsidDel="00000000">
              <w:rPr>
                <w:rtl w:val="0"/>
              </w:rPr>
              <w:t xml:space="preserve"> 5. panta 1., 2., 2.a  un 3. punkta nosacījumus, šo noteikumu </w:t>
            </w:r>
            <w:r w:rsidR="00000000" w:rsidRPr="00000000" w:rsidDel="00000000">
              <w:rPr>
                <w:rtl w:val="0"/>
              </w:rPr>
              <w:t xml:space="preserve">13.1.2.</w:t>
            </w:r>
            <w:r w:rsidR="00000000" w:rsidRPr="00000000" w:rsidDel="00000000">
              <w:rPr>
                <w:rtl w:val="0"/>
              </w:rPr>
              <w:t xml:space="preserve">, </w:t>
            </w:r>
            <w:r w:rsidR="00000000" w:rsidRPr="00000000" w:rsidDel="00000000">
              <w:rPr>
                <w:rtl w:val="0"/>
              </w:rPr>
              <w:t xml:space="preserve">13.1.4.</w:t>
            </w:r>
            <w:r w:rsidR="00000000" w:rsidRPr="00000000" w:rsidDel="00000000">
              <w:rPr>
                <w:rtl w:val="0"/>
              </w:rPr>
              <w:t xml:space="preserve">, </w:t>
            </w:r>
            <w:r w:rsidR="00000000" w:rsidRPr="00000000" w:rsidDel="00000000">
              <w:rPr>
                <w:rtl w:val="0"/>
              </w:rPr>
              <w:t xml:space="preserve">13.2.</w:t>
            </w:r>
            <w:r w:rsidR="00000000" w:rsidRPr="00000000" w:rsidDel="00000000">
              <w:rPr>
                <w:rtl w:val="0"/>
              </w:rPr>
              <w:t xml:space="preserve"> un </w:t>
            </w:r>
            <w:r w:rsidR="00000000" w:rsidRPr="00000000" w:rsidDel="00000000">
              <w:rPr>
                <w:rtl w:val="0"/>
              </w:rPr>
              <w:t xml:space="preserve">23.2.</w:t>
            </w:r>
            <w:r w:rsidR="00000000" w:rsidRPr="00000000" w:rsidDel="00000000">
              <w:rPr>
                <w:rtl w:val="0"/>
              </w:rPr>
              <w:t xml:space="preserve"> apakšpunktā, kā arī </w:t>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34.</w:t>
            </w:r>
            <w:r w:rsidR="00000000" w:rsidRPr="00000000" w:rsidDel="00000000">
              <w:rPr>
                <w:vertAlign w:val="superscript"/>
                <w:rtl w:val="0"/>
              </w:rPr>
              <w:t xml:space="preserve">3</w:t>
            </w:r>
            <w:r w:rsidR="00000000" w:rsidRPr="00000000" w:rsidDel="00000000">
              <w:rPr>
                <w:rtl w:val="0"/>
              </w:rPr>
              <w:t xml:space="preserve"> un </w:t>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 punktā minēto atbalstu drīkst kumulēt gan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Komisijas regulas 2023/2831 3. panta 2. punktā, Komisijas regulas Nr. </w:t>
            </w:r>
            <w:r w:rsidR="00000000" w:rsidRPr="00000000" w:rsidDel="00000000">
              <w:rPr>
                <w:rtl w:val="0"/>
              </w:rPr>
              <w:t xml:space="preserve">717/2014</w:t>
            </w:r>
            <w:r w:rsidR="00000000" w:rsidRPr="00000000" w:rsidDel="00000000">
              <w:rPr>
                <w:rtl w:val="0"/>
              </w:rPr>
              <w:t xml:space="preserve"> 3. panta 2.a punktā vai Komisijas regulas Nr. </w:t>
            </w:r>
            <w:r w:rsidR="00000000" w:rsidRPr="00000000" w:rsidDel="00000000">
              <w:rPr>
                <w:rtl w:val="0"/>
              </w:rPr>
              <w:t xml:space="preserve">1408/2013</w:t>
            </w:r>
            <w:r w:rsidR="00000000" w:rsidRPr="00000000" w:rsidDel="00000000">
              <w:rPr>
                <w:rtl w:val="0"/>
              </w:rPr>
              <w:t xml:space="preserve"> 3. panta 2. punktā noteiktajam attiecīgajam robežlielumam, gan ar citu valsts atbalstu attiecībā uz vienām un tām pašām attiecināmajām izmaksām vai citu valsts atbalstu tam pašam riska finansējuma pasākumam, ja ar šo kumulāciju netiek pārsniegta attiecīgā maksimālā atbalsta intensitāte vai atbalsta summa, kāda noteikta valsts atbalsta programmā, atbalsta projektā vai Eiropas Komisijas lēmumā.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 procentu;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kumulācijas prasību ievērošanu, lūdzam precizēt noteikumu projekta 11.8. apakšpunktu aiz vārdiem "gan ar citu valsts atbalstu" papildinot ar vārdiem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Komercdarbības atbalsta kontroles likuma 1. panta otrās daļas 1. punktā norādīto definīciju, aicinām papildināt pirms vārdiem: "atbalsta projektā" ar vārdiem "ad-hoc".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iesniegumos norādītais izmaksājamā atbalsta apmērs pārsniedz šo noteikumu </w:t>
            </w:r>
            <w:r w:rsidR="00000000" w:rsidRPr="00000000" w:rsidDel="00000000">
              <w:rPr>
                <w:rtl w:val="0"/>
              </w:rPr>
              <w:t xml:space="preserve">3.1.</w:t>
            </w:r>
            <w:r w:rsidR="00000000" w:rsidRPr="00000000" w:rsidDel="00000000">
              <w:rPr>
                <w:rtl w:val="0"/>
              </w:rPr>
              <w:t xml:space="preserve"> apakšpunktā minēto finansējumu, Lauku atbalsta dienests proporcionāli samazina to pretendentam izmaksājamo atbalsta summu, kura kārtējā gadā pārsniedz 40 000 </w:t>
            </w:r>
            <w:r w:rsidR="00000000" w:rsidRPr="00000000" w:rsidDel="00000000">
              <w:rPr>
                <w:i w:val="1"/>
                <w:rtl w:val="0"/>
              </w:rPr>
              <w:t xml:space="preserve">euro</w:t>
            </w:r>
            <w:r w:rsidR="00000000" w:rsidRPr="00000000" w:rsidDel="00000000">
              <w:rPr>
                <w:rtl w:val="0"/>
              </w:rPr>
              <w:t xml:space="preserve">. Savukārt, ja pēdējo triju fiskālo gadu laikā sasniegts </w:t>
            </w:r>
            <w:r w:rsidR="00000000" w:rsidRPr="00000000" w:rsidDel="00000000">
              <w:rPr>
                <w:i w:val="1"/>
                <w:rtl w:val="0"/>
              </w:rPr>
              <w:t xml:space="preserve">de minimis </w:t>
            </w:r>
            <w:r w:rsidR="00000000" w:rsidRPr="00000000" w:rsidDel="00000000">
              <w:rPr>
                <w:rtl w:val="0"/>
              </w:rPr>
              <w:t xml:space="preserve">atbalsta kopējais kumulatīvais apmērs, kas noteikts Komisijas regulas Nr. 1408/2013 II pielikumā, Lauku atbalsta dienests proporcionāli samazina pretendentiem izmaksājamo </w:t>
            </w:r>
            <w:r w:rsidR="00000000" w:rsidRPr="00000000" w:rsidDel="00000000">
              <w:rPr>
                <w:i w:val="1"/>
                <w:rtl w:val="0"/>
              </w:rPr>
              <w:t xml:space="preserve">de minimis</w:t>
            </w:r>
            <w:r w:rsidR="00000000" w:rsidRPr="00000000" w:rsidDel="00000000">
              <w:rPr>
                <w:rtl w:val="0"/>
              </w:rPr>
              <w:t xml:space="preserve">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2024. gada 16. decembrī stājās spēkā Regulas (ES) Nr. 1408/2013 grozījumi attiecībā uz de minimis atbalsta uzskaites periodu, lūdzam atbilstoši precizēt noteikumu projekta 21.punktā noteikto de minimis atbalsta uzskaites periodu, kā arī vēršam uzmanību, ka līdz ar grozījumiem Regulā (ES) Nr. 1408/2013, tika svītrots II pielikums. Ņemot vērā iepriekš minēto, lūdzam attiecīgi precizēt noteikumu projekta 21.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kooperatīvajai sabiedrībai un kooperatīvajai sabiedrībai, kas darbojas mežsaimniecības nozarē, – īstermiņa aizdevuma un faktoringa daļējai kredītprocentu dzēšanai saskaņā ar Komisijas regulas 2023/2831</w:t>
            </w:r>
            <w:r w:rsidR="00000000" w:rsidRPr="00000000" w:rsidDel="00000000">
              <w:rPr>
                <w:rtl w:val="0"/>
              </w:rPr>
              <w:t xml:space="preserve">​</w:t>
            </w:r>
            <w:r w:rsidR="00000000" w:rsidRPr="00000000" w:rsidDel="00000000">
              <w:rPr>
                <w:rtl w:val="0"/>
              </w:rPr>
              <w:t xml:space="preserve"> 1. panta 1. punktu. Pēc atbalsta saņemšanas kooperatīvā sabiedrība un kooperatīvā sabiedrība, kas darbojas mežsaimniecības nozarē, ievēro Komisijas regulas 2023/2831</w:t>
            </w:r>
            <w:r w:rsidR="00000000" w:rsidRPr="00000000" w:rsidDel="00000000">
              <w:rPr>
                <w:rtl w:val="0"/>
              </w:rPr>
              <w:t xml:space="preserve">​</w:t>
            </w:r>
            <w:r w:rsidR="00000000" w:rsidRPr="00000000" w:rsidDel="00000000">
              <w:rPr>
                <w:rtl w:val="0"/>
              </w:rPr>
              <w:t xml:space="preserve"> 1. panta 2. punktā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nosacījumus, kas izriet no Komisijas regulas Nr. 2023/2831 1. panta 2. punkta par nozaru darbību un uzskaites nodalīšanu, pārnest uz noteikumu projekta 1. sadaļas "Vispārīgie jautājumi", piemēram, 11.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skatīt piedāvātās redakcijas piemēru zemāk.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saskaņā ar Komisijas regulu Nr. 2023/2831 piešķir, ievērojot Komisijas regulas Nr.2023/2831 1. panta 1. punktā minētos nozaru un darbību ierobežojumus. Ja atbalsta pretendents vienlaikus darbojas vienā vai vairākās Komisijas regulas Nr.2023/2831 1. panta 1. punkta a), b), c) un d) apakšpunktā minētajās nozarēs, atbalstu drīkst piešķirt tikai tad, ja atbalsta pretendents nodrošina šo nozaru darbību vai uzskaites nodalīšanu, lai saskaņā ar Komisijas regulas Nr. 2023/2831 1. panta 2. punktu darbības izslēgtajās nozarēs negūst labumu no de minimis atbalsta, ko piešķir saskaņā ar 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Atbalstu ilgtermiņa aizdevuma vai finanšu līzinga kredītprocentu dzēšanai saskaņā ar Komisijas regulu 2023/2831</w:t>
            </w:r>
            <w:r w:rsidR="00000000" w:rsidRPr="00000000" w:rsidDel="00000000">
              <w:rPr>
                <w:rtl w:val="0"/>
              </w:rPr>
              <w:t xml:space="preserve">​</w:t>
            </w:r>
            <w:r w:rsidR="00000000" w:rsidRPr="00000000" w:rsidDel="00000000">
              <w:rPr>
                <w:rtl w:val="0"/>
              </w:rPr>
              <w:t xml:space="preserve"> piešķir pretendentam, kas atbilst mikrouzņēmuma, mazā un vidējā uzņēmuma kategorijai saskaņā ar regulas 2022/2472 I pielikumā noteikto klasifikāciju un kas Līguma par Eiropas Savienības darbību I pielikumā noteiktos lauksaimniecības produktus pārstrādā šajā pielikumā neminētos lauksaimniecības produktos atbilstoši saimnieciskās darbības statistiskās klasifikācijas (</w:t>
            </w:r>
            <w:r w:rsidR="00000000" w:rsidRPr="00000000" w:rsidDel="00000000">
              <w:rPr>
                <w:i w:val="1"/>
                <w:rtl w:val="0"/>
              </w:rPr>
              <w:t xml:space="preserve">NACE</w:t>
            </w:r>
            <w:r w:rsidR="00000000" w:rsidRPr="00000000" w:rsidDel="00000000">
              <w:rPr>
                <w:rtl w:val="0"/>
              </w:rPr>
              <w:t xml:space="preserve"> 2. red.) kodiem – grupa 10.7, grupa 10.52 un grupa 11.07 (tikai dabīgi raudzēts kvass ar alkohola saturu līdz 0,5 tilpumprocentiem), grupa 10.3, ja šie produkti atbilst Eiropas Savienības Kombinētās nomenklatūras kodiem 20041091 un 20052010, grupa 10.41, ja šie produkti atbilst Eiropas Savienības Kombinētās nomenklatūras kodam 1518, un grupa 10.51, ja šie produkti atbilst Eiropas Savienības Kombinētās nomenklatūras kodiem 04031051–04039099, 04052010–04052030, 3501 un 3502. Atbalsta saņēmējs nodrošina Komisijas regulas 2023/2831</w:t>
            </w:r>
            <w:r w:rsidR="00000000" w:rsidRPr="00000000" w:rsidDel="00000000">
              <w:rPr>
                <w:rtl w:val="0"/>
              </w:rPr>
              <w:t xml:space="preserve">​</w:t>
            </w:r>
            <w:r w:rsidR="00000000" w:rsidRPr="00000000" w:rsidDel="00000000">
              <w:rPr>
                <w:rtl w:val="0"/>
              </w:rPr>
              <w:t xml:space="preserve"> 1. panta 2. punktā minēto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 34.</w:t>
            </w:r>
            <w:r w:rsidR="00000000" w:rsidRPr="00000000" w:rsidDel="00000000">
              <w:rPr>
                <w:vertAlign w:val="superscript"/>
                <w:rtl w:val="0"/>
              </w:rPr>
              <w:t xml:space="preserve">1</w:t>
            </w:r>
            <w:r w:rsidR="00000000" w:rsidRPr="00000000" w:rsidDel="00000000">
              <w:rPr>
                <w:rtl w:val="0"/>
              </w:rPr>
              <w:t xml:space="preserve"> un pēc analoģijas 34.</w:t>
            </w:r>
            <w:r w:rsidR="00000000" w:rsidRPr="00000000" w:rsidDel="00000000">
              <w:rPr>
                <w:vertAlign w:val="superscript"/>
                <w:rtl w:val="0"/>
              </w:rPr>
              <w:t xml:space="preserve">2</w:t>
            </w:r>
            <w:r w:rsidR="00000000" w:rsidRPr="00000000" w:rsidDel="00000000">
              <w:rPr>
                <w:rtl w:val="0"/>
              </w:rPr>
              <w:t xml:space="preserve">, 34.</w:t>
            </w:r>
            <w:r w:rsidR="00000000" w:rsidRPr="00000000" w:rsidDel="00000000">
              <w:rPr>
                <w:vertAlign w:val="superscript"/>
                <w:rtl w:val="0"/>
              </w:rPr>
              <w:t xml:space="preserve">3</w:t>
            </w:r>
            <w:r w:rsidR="00000000" w:rsidRPr="00000000" w:rsidDel="00000000">
              <w:rPr>
                <w:rtl w:val="0"/>
              </w:rPr>
              <w:t xml:space="preserve"> un 34.</w:t>
            </w:r>
            <w:r w:rsidR="00000000" w:rsidRPr="00000000" w:rsidDel="00000000">
              <w:rPr>
                <w:vertAlign w:val="superscript"/>
                <w:rtl w:val="0"/>
              </w:rPr>
              <w:t xml:space="preserve">4</w:t>
            </w:r>
            <w:r w:rsidR="00000000" w:rsidRPr="00000000" w:rsidDel="00000000">
              <w:rPr>
                <w:rtl w:val="0"/>
              </w:rPr>
              <w:t xml:space="preserve"> punkta svītrot atsauci uz Komisijas regulas 2023/2831​1. panta 2. punktā minēto prasību izpildi un paredzēt šī nosacījuma pārnešanu uz noteikumu projekta 1. sadaļas "Vispārīgie jautājumi", piemēram, 11. punktu. Lūdzam skatīt komentāru pie noteikumu projekta 23.2.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24-TA-3253</w:t>
    </w:r>
    <w:r>
      <w:br/>
    </w:r>
    <w:r w:rsidR="00000000" w:rsidRPr="00000000" w:rsidDel="00000000">
      <w:rPr>
        <w:rtl w:val="0"/>
      </w:rPr>
      <w:t xml:space="preserve">Izdrukāts 14.02.2025.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24-TA-3253</w:t>
    </w:r>
    <w:r>
      <w:br/>
    </w:r>
    <w:r w:rsidR="00000000" w:rsidRPr="00000000" w:rsidDel="00000000">
      <w:rPr>
        <w:rtl w:val="0"/>
      </w:rPr>
      <w:t xml:space="preserve">Izdrukāts 14.02.2025.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Atzinumi_24-TA-3253.docx</dc:title>
</cp:coreProperties>
</file>

<file path=docProps/custom.xml><?xml version="1.0" encoding="utf-8"?>
<Properties xmlns="http://schemas.openxmlformats.org/officeDocument/2006/custom-properties" xmlns:vt="http://schemas.openxmlformats.org/officeDocument/2006/docPropsVTypes"/>
</file>