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9. janvāra noteikumos Nr. 32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otrās kārtas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noteikumu projekta anotācijas skaidrojumu par noteikumu 60.3. apakšpunktā paredzētajiem grozījumiem. Anotācijā šobrīd norādīts, ka, </w:t>
            </w:r>
            <w:r w:rsidR="00000000" w:rsidRPr="00000000" w:rsidDel="00000000">
              <w:rPr>
                <w:i w:val="1"/>
                <w:rtl w:val="0"/>
              </w:rPr>
              <w:t xml:space="preserve">svītrojot vārdus "kas atgūstams no valsts budžeta priekšnodokļa veidā", tiek nodrošinātas skaidras tiesību normas un mazinātas interpretācijas iespējas</w:t>
            </w:r>
            <w:r w:rsidR="00000000" w:rsidRPr="00000000" w:rsidDel="00000000">
              <w:rPr>
                <w:rtl w:val="0"/>
              </w:rPr>
              <w:t xml:space="preserve">. Tomēr pēc būtības ar grozījumiem 60.3. apakšpunktā tiek mainīts attiecināmo izmaksu apmērs.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Andra Reinfelde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</w:t>
    </w:r>
    <w:r>
      <w:br/>
    </w:r>
    <w:r w:rsidR="00000000" w:rsidRPr="00000000" w:rsidDel="00000000">
      <w:rPr>
        <w:rtl w:val="0"/>
      </w:rPr>
      <w:t xml:space="preserve">Izdrukāts 04.03.2024. 19.49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</w:t>
    </w:r>
    <w:r>
      <w:br/>
    </w:r>
    <w:r w:rsidR="00000000" w:rsidRPr="00000000" w:rsidDel="00000000">
      <w:rPr>
        <w:rtl w:val="0"/>
      </w:rPr>
      <w:t xml:space="preserve">Izdrukāts 04.03.2024. 19.49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