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13.1.</w:t>
            </w:r>
            <w:r w:rsidR="00000000" w:rsidRPr="00000000" w:rsidDel="00000000">
              <w:rPr>
                <w:rtl w:val="0"/>
              </w:rPr>
              <w:t xml:space="preserve"> , </w:t>
            </w:r>
            <w:r w:rsidR="00000000" w:rsidRPr="00000000" w:rsidDel="00000000">
              <w:rPr>
                <w:rtl w:val="0"/>
              </w:rPr>
              <w:t xml:space="preserve">13.2.2.</w:t>
            </w:r>
            <w:r w:rsidR="00000000" w:rsidRPr="00000000" w:rsidDel="00000000">
              <w:rPr>
                <w:rtl w:val="0"/>
              </w:rPr>
              <w:t xml:space="preserve"> ​​​​​​​ un </w:t>
            </w:r>
            <w:r w:rsidR="00000000" w:rsidRPr="00000000" w:rsidDel="00000000">
              <w:rPr>
                <w:rtl w:val="0"/>
              </w:rPr>
              <w:t xml:space="preserve">13.3.</w:t>
            </w:r>
            <w:r w:rsidR="00000000" w:rsidRPr="00000000" w:rsidDel="00000000">
              <w:rPr>
                <w:rtl w:val="0"/>
              </w:rPr>
              <w:t xml:space="preserve"> apakšpunktā minētajiem projekta iesniedzējiem, kuri plāno attīstīt ģimenes ārsta praksi, kurai nav uzticēts sniegt pakalpojumus ar vispārēju tautsaimniecisku nozīmi, atbalstu piešķir kā atbalstu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33. punktā vārdus "projekta iesniedzējiem" ar vārdiem "finansējuma saņēmējiem", ņemot vērā, ka atbalsts tiek piešķirts tieši finansējuma saņēmējam, nevis projekta iesniedzējam, proti, kad projekta iesniegums jau ir ticis apstiprināts. Atbilstoši Eiropas Savienības fondu 2021.—2027. gada plānošanas perioda vadības likuma 1. panta 3. punktam finansējuma saņēmējs ir persona, kuras projekta iesniegums ir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noteikumu projekta 35.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un pēc nepieciešamības precizēt arī citās noteikumu projekta normās lietotos jēdzienus "projekta iesniedzējs" (pirms projekta iesnieguma apstiprināšanas) un "finansējuma saņēmējs" (pēc projekta iesnieguma apstiprināšanas) atbilstoši subjekta faktiskajam statusam attiecīgajās situācijās, lai nodrošinātu regulējuma viennozīmīgu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13.1., 13.2.2.  un 13.3. apakšpunktā minētajiem </w:t>
            </w:r>
            <w:r w:rsidR="00000000" w:rsidRPr="00000000" w:rsidDel="00000000">
              <w:rPr>
                <w:u w:val="single"/>
                <w:rtl w:val="0"/>
              </w:rPr>
              <w:t xml:space="preserve">finansējuma saņēmējiem</w:t>
            </w:r>
            <w:r w:rsidR="00000000" w:rsidRPr="00000000" w:rsidDel="00000000">
              <w:rPr>
                <w:rtl w:val="0"/>
              </w:rPr>
              <w:t xml:space="preserve">, kuri plāno attīstīt ģimenes ārsta praksi, kurai nav uzticēts sniegt pakalpojumus ar vispārēju tautsaimniecisku nozīmi, atbalstu piešķir kā atbalstu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Pasākuma īstenošanas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izziņā, kāpēc no noteikumu projekta tiek svītrotas normas, par individuālajiem projektu īstenošanas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Īstenojot projektu,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lai nodrošinātu, ka tie noteikumu projekta 56.punktā minētie nosacījumi, kas attiecināmi arī uz sadarbības partneri, tiktu atbilstoši attiecināti. Piemēram, noteikumu projekta 56.3. un 56.8. punktā minētie pienākumi attiecas arī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pielikumā sniegto informāciju par noteikumu projekta 14.2.1. apakšpunktā noteiktajiem sadarbības partneriem, t.i., precizēt redakciju atbilstoši noteikumu projektā lietotai redakcijai, piemēram, atsaucoties uz noteikumu projekta 14.2.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Visikovska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izziņā, kāpēc par jaunatvērtu individuālo ģimenes ārsta praksi tagad ir uzskatāma tāda prakse, kas īsteno savu darbību ne ilgāk kā trīs gadus, nevis vienu gadu kā tas bija noteikts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"Pašreizējā situācija, problēmas un risinājumi" atbalstāmās darbības "Informācijas un publicitātes pasākumu nodrošināšana" redakciju atbilstoši noteikumu projektā lietotai redakcijai -"Komunikācijas un vizuālās identitātes prasību nodrošināšana".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Visikovska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28.11.2024.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28.11.2024.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