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Par maksājuma termiņa kavējumiem gaisa pārvadātājam piemēro nokavējuma naudu 0,05 procentu apmērā no laikā nesamaksātā pamatparāda par katru kavējuma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grozījumu projekta 1.5. apakšpunktā (noteikumu 12.</w:t>
            </w:r>
            <w:r w:rsidR="00000000" w:rsidRPr="00000000" w:rsidDel="00000000">
              <w:rPr>
                <w:vertAlign w:val="superscript"/>
                <w:rtl w:val="0"/>
              </w:rPr>
              <w:t xml:space="preserve">1</w:t>
            </w:r>
            <w:r w:rsidR="00000000" w:rsidRPr="00000000" w:rsidDel="00000000">
              <w:rPr>
                <w:rtl w:val="0"/>
              </w:rPr>
              <w:t xml:space="preserve"> punkts) noteikt robežu piedzenamās nokavējuma naudas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 Tieslietu ministrijas iebildumos norādīto, projektā noteiktā nokavējuma nauda kvalificējama kā līgumsods. Vispārīgi, nosakot šādu maksājuma pienākumu, nepieciešams ievērot, ka personas nedrīkst tikt pakļautas nesamērīgi lielam maksājuma pienākumam ar sodošu raksturu. Tam jo īpaši ir nozīmē konkrētajā gadījumā, jo sankcija par maksājuma termiņa kavējumu noteikta ar normatīvo aktu, nevis pušu savstarpējā darījumā.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Līgumsodam (nokavējuma naudai) sākotnēji ir negatīvu seku drauds par nepienācīgu pienākumu izpildi vai pienākumu neizpildi vispār. Līdz ar to šāda sankcija, kas noteikta normatīvajā aktā vai līgumā, preventīvi novērš iespējamos pārkāpumus. Līgumsodam (nokavējuma naudai) pēc pārkāpuma iestāšanās ir sodīšanas un zaudējumu atlīdzināšanas funkcija. Tiesiskajās attiecībās ar sodoša rakstura tiesisko līdzekļu piemērošanu par vispārēju principu tiesībās ir atzīstams soda samērīguma princips. Nokavējuma naudai šā brīža projekta redakcijā ir izteikti sodošs un faktiski uz iedzīvošanos orientēts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projekta 12.</w:t>
            </w:r>
            <w:r w:rsidR="00000000" w:rsidRPr="00000000" w:rsidDel="00000000">
              <w:rPr>
                <w:vertAlign w:val="superscript"/>
                <w:rtl w:val="0"/>
              </w:rPr>
              <w:t xml:space="preserve">1</w:t>
            </w:r>
            <w:r w:rsidR="00000000" w:rsidRPr="00000000" w:rsidDel="00000000">
              <w:rPr>
                <w:rtl w:val="0"/>
              </w:rPr>
              <w:t xml:space="preserve"> punktu burtiski un formāli, piedzenamās nokavējuma naudas apmērs var pieaugt līdz bezgalībai. Ja starp pusēm rastos strīds, tad tiesa, atsaucoties uz Civillikuma 1. pantu, visdrīzāk samazinātu piedzenamās nokavējuma naudas apmēru. Nokavējuma naudas noteikšana procentuālā izteiksmē ir pieļaujama, tomēr ir jābūt saprātīgām robežām šīs summas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Civillikuma 1716. panta trešajā daļā atzinis, ka līgumsods (nokavējuma nauda) par saistību nepienācīgu izpildi vai neizpildīšanu īstā laikā (termiņā) var tikt noteikts pieaugošs, taču kopumā ne vairāk par 10 % no pamatparāda vai galvenās saistības apmēra. Rosinām izmantot minētajā Civillikuma normā paredzēto barjeru sankcijas apmēram grozījumu projekta 11.5. apakšpunktā (noteikumu 12.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Par maksājuma termiņa kavējumiem gaisa pārvadātājam piemēro nokavējuma naudu 0,05 procentu apmērā no laikā nesamaksātā pamatparāda par katru kavējuma dienu, taču kopumā ne vairāk par 10 procentiem no pamatparāda.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08.03.2024.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08.03.2024.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Atzinumi_23-TA-2627.docx</dc:title>
</cp:coreProperties>
</file>

<file path=docProps/custom.xml><?xml version="1.0" encoding="utf-8"?>
<Properties xmlns="http://schemas.openxmlformats.org/officeDocument/2006/custom-properties" xmlns:vt="http://schemas.openxmlformats.org/officeDocument/2006/docPropsVTypes"/>
</file>