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pievienošanos “Artemis Accords” (Artemis vienošanās)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(“ARTEMIS” VIENOŠANĀS 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(THE ARTEMIS ACCORDS ENG)</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Ekonomikas ministriju nodrošināt “Artemis vienošanās” izpildes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sniegta informācija, ka "Artemis vienošanās" parakstīšana nerada tiešas finansiālās izmaksas, bet nākotnē varētu rasties netiešas izmaksas, tomēr kopējais administratīvais un finansiālais slogs Latvijai tiek vērtēts kā minimāls. Ņemot vērā šo informāciju, lūdzam papildināt protokollēmuma projekta 3.punktu un attiecīgi Informatīvā ziņojuma sadaļu “Administratīvais slogs un ietekme uz budžetu” ar informāciju, ka “Artemis vienošanās” izpildes koordināciju Izglītības un zinātnes ministrija un Ekonomikas ministrija nodrošinās to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19.09.2025.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Atzinumi_25-TA-2204.docx</dc:title>
</cp:coreProperties>
</file>

<file path=docProps/custom.xml><?xml version="1.0" encoding="utf-8"?>
<Properties xmlns="http://schemas.openxmlformats.org/officeDocument/2006/custom-properties" xmlns:vt="http://schemas.openxmlformats.org/officeDocument/2006/docPropsVTypes"/>
</file>