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85" w:type="dxa"/>
        <w:tblCellMar>
          <w:left w:w="0" w:type="dxa"/>
          <w:right w:w="0" w:type="dxa"/>
        </w:tblCellMar>
        <w:tblLook w:val="00BF" w:firstRow="1" w:lastRow="0" w:firstColumn="1" w:lastColumn="0" w:noHBand="0" w:noVBand="0"/>
      </w:tblPr>
      <w:tblGrid>
        <w:gridCol w:w="9085"/>
      </w:tblGrid>
      <w:tr w:rsidR="00883127" w14:paraId="09E85382" w14:textId="77777777" w:rsidTr="00883127">
        <w:tc>
          <w:tcPr>
            <w:tcW w:w="9085" w:type="dxa"/>
          </w:tcPr>
          <w:tbl>
            <w:tblPr>
              <w:tblW w:w="5000" w:type="pct"/>
              <w:tblCellMar>
                <w:left w:w="0" w:type="dxa"/>
                <w:right w:w="0" w:type="dxa"/>
              </w:tblCellMar>
              <w:tblLook w:val="00BF" w:firstRow="1" w:lastRow="0" w:firstColumn="1" w:lastColumn="0" w:noHBand="0" w:noVBand="0"/>
            </w:tblPr>
            <w:tblGrid>
              <w:gridCol w:w="5678"/>
              <w:gridCol w:w="3407"/>
            </w:tblGrid>
            <w:tr w:rsidR="00883127" w14:paraId="596659C9" w14:textId="77777777" w:rsidTr="00883127">
              <w:tc>
                <w:tcPr>
                  <w:tcW w:w="3125" w:type="pct"/>
                  <w:tcBorders>
                    <w:top w:val="nil"/>
                    <w:left w:val="nil"/>
                    <w:bottom w:val="nil"/>
                    <w:right w:val="nil"/>
                  </w:tcBorders>
                </w:tcPr>
                <w:p w14:paraId="157B3FD4" w14:textId="77777777" w:rsidR="00883127" w:rsidRDefault="00883127" w:rsidP="00883127">
                  <w:pPr>
                    <w:keepLines/>
                    <w:autoSpaceDE w:val="0"/>
                    <w:autoSpaceDN w:val="0"/>
                    <w:adjustRightInd w:val="0"/>
                    <w:spacing w:after="0" w:line="400" w:lineRule="auto"/>
                    <w:ind w:right="113"/>
                    <w:rPr>
                      <w:rFonts w:ascii="Tms Rmn" w:hAnsi="Tms Rmn"/>
                      <w:sz w:val="24"/>
                      <w:szCs w:val="24"/>
                    </w:rPr>
                  </w:pPr>
                </w:p>
                <w:p w14:paraId="344C70EC" w14:textId="77777777" w:rsidR="00883127" w:rsidRDefault="00883127" w:rsidP="00883127">
                  <w:pPr>
                    <w:keepLines/>
                    <w:autoSpaceDE w:val="0"/>
                    <w:autoSpaceDN w:val="0"/>
                    <w:adjustRightInd w:val="0"/>
                    <w:spacing w:after="0" w:line="240" w:lineRule="auto"/>
                    <w:ind w:right="113"/>
                    <w:rPr>
                      <w:rFonts w:ascii="Times New Roman" w:hAnsi="Times New Roman" w:cs="Times New Roman"/>
                      <w:color w:val="000000"/>
                      <w:sz w:val="24"/>
                      <w:szCs w:val="24"/>
                    </w:rPr>
                  </w:pPr>
                  <w:r>
                    <w:rPr>
                      <w:rFonts w:ascii="Times New Roman" w:hAnsi="Times New Roman" w:cs="Times New Roman"/>
                      <w:color w:val="000000"/>
                      <w:sz w:val="24"/>
                      <w:szCs w:val="24"/>
                    </w:rPr>
                    <w:t>Rīgā</w:t>
                  </w:r>
                </w:p>
                <w:p w14:paraId="7394DD75" w14:textId="77777777" w:rsidR="00883127" w:rsidRDefault="00883127" w:rsidP="00883127">
                  <w:pPr>
                    <w:keepLines/>
                    <w:autoSpaceDE w:val="0"/>
                    <w:autoSpaceDN w:val="0"/>
                    <w:adjustRightInd w:val="0"/>
                    <w:spacing w:after="0" w:line="240" w:lineRule="auto"/>
                    <w:ind w:right="113"/>
                    <w:rPr>
                      <w:rFonts w:ascii="Times New Roman" w:hAnsi="Times New Roman" w:cs="Times New Roman"/>
                      <w:color w:val="000000"/>
                      <w:sz w:val="24"/>
                      <w:szCs w:val="24"/>
                    </w:rPr>
                  </w:pPr>
                  <w:r>
                    <w:rPr>
                      <w:rFonts w:ascii="Times New Roman" w:hAnsi="Times New Roman" w:cs="Times New Roman"/>
                      <w:color w:val="000000"/>
                      <w:sz w:val="24"/>
                      <w:szCs w:val="24"/>
                    </w:rPr>
                    <w:t>Datumu skatīt dokumenta paraksta laika zīmogā.</w:t>
                  </w:r>
                </w:p>
                <w:p w14:paraId="3100B589" w14:textId="77777777" w:rsidR="00883127" w:rsidRDefault="00883127" w:rsidP="00883127">
                  <w:pPr>
                    <w:keepLines/>
                    <w:autoSpaceDE w:val="0"/>
                    <w:autoSpaceDN w:val="0"/>
                    <w:adjustRightInd w:val="0"/>
                    <w:spacing w:after="0" w:line="240" w:lineRule="auto"/>
                    <w:ind w:right="113"/>
                    <w:rPr>
                      <w:rFonts w:ascii="Times New Roman" w:hAnsi="Times New Roman" w:cs="Times New Roman"/>
                      <w:color w:val="000000"/>
                      <w:sz w:val="24"/>
                      <w:szCs w:val="24"/>
                    </w:rPr>
                  </w:pPr>
                  <w:r>
                    <w:rPr>
                      <w:rFonts w:ascii="Times New Roman" w:hAnsi="Times New Roman" w:cs="Times New Roman"/>
                      <w:color w:val="000000"/>
                      <w:sz w:val="24"/>
                      <w:szCs w:val="24"/>
                    </w:rPr>
                    <w:t>Nr. 30VD00-11/2408</w:t>
                  </w:r>
                </w:p>
              </w:tc>
              <w:tc>
                <w:tcPr>
                  <w:tcW w:w="1875" w:type="pct"/>
                  <w:tcBorders>
                    <w:top w:val="nil"/>
                    <w:left w:val="nil"/>
                    <w:bottom w:val="nil"/>
                    <w:right w:val="nil"/>
                  </w:tcBorders>
                </w:tcPr>
                <w:p w14:paraId="03410F22" w14:textId="77777777" w:rsidR="00883127" w:rsidRDefault="00883127" w:rsidP="00883127">
                  <w:pPr>
                    <w:keepLines/>
                    <w:autoSpaceDE w:val="0"/>
                    <w:autoSpaceDN w:val="0"/>
                    <w:adjustRightInd w:val="0"/>
                    <w:spacing w:after="0" w:line="240" w:lineRule="auto"/>
                    <w:jc w:val="right"/>
                    <w:rPr>
                      <w:rFonts w:ascii="Times New Roman" w:hAnsi="Times New Roman" w:cs="Times New Roman"/>
                      <w:color w:val="000000"/>
                      <w:sz w:val="24"/>
                      <w:szCs w:val="24"/>
                    </w:rPr>
                  </w:pPr>
                </w:p>
                <w:p w14:paraId="71EE2DF7" w14:textId="77777777" w:rsidR="00883127" w:rsidRDefault="00883127" w:rsidP="00883127">
                  <w:pPr>
                    <w:keepLines/>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Ekonomikas ministrijai</w:t>
                  </w:r>
                  <w:r>
                    <w:rPr>
                      <w:rFonts w:ascii="Times New Roman" w:hAnsi="Times New Roman" w:cs="Times New Roman"/>
                      <w:color w:val="000000"/>
                      <w:sz w:val="24"/>
                      <w:szCs w:val="24"/>
                    </w:rPr>
                    <w:br/>
                    <w:t>Brīvības iela 55, Rīga, LV - 1519</w:t>
                  </w:r>
                </w:p>
              </w:tc>
            </w:tr>
          </w:tbl>
          <w:p w14:paraId="468F6AEE" w14:textId="77777777" w:rsidR="00883127" w:rsidRDefault="00883127" w:rsidP="00883127">
            <w:pPr>
              <w:keepLines/>
              <w:autoSpaceDE w:val="0"/>
              <w:autoSpaceDN w:val="0"/>
              <w:adjustRightInd w:val="0"/>
              <w:spacing w:after="0" w:line="240" w:lineRule="auto"/>
              <w:rPr>
                <w:rFonts w:ascii="Times New Roman" w:hAnsi="Times New Roman" w:cs="Times New Roman"/>
                <w:color w:val="000000"/>
                <w:sz w:val="24"/>
                <w:szCs w:val="24"/>
              </w:rPr>
            </w:pPr>
          </w:p>
          <w:tbl>
            <w:tblPr>
              <w:tblW w:w="5000" w:type="pct"/>
              <w:tblCellMar>
                <w:left w:w="0" w:type="dxa"/>
                <w:right w:w="0" w:type="dxa"/>
              </w:tblCellMar>
              <w:tblLook w:val="00BF" w:firstRow="1" w:lastRow="0" w:firstColumn="1" w:lastColumn="0" w:noHBand="0" w:noVBand="0"/>
            </w:tblPr>
            <w:tblGrid>
              <w:gridCol w:w="9085"/>
            </w:tblGrid>
            <w:tr w:rsidR="00883127" w14:paraId="0EB09830" w14:textId="77777777" w:rsidTr="00883127">
              <w:tc>
                <w:tcPr>
                  <w:tcW w:w="5000" w:type="pct"/>
                  <w:tcBorders>
                    <w:top w:val="nil"/>
                    <w:left w:val="nil"/>
                    <w:bottom w:val="nil"/>
                    <w:right w:val="nil"/>
                  </w:tcBorders>
                </w:tcPr>
                <w:p w14:paraId="0706106B" w14:textId="77777777" w:rsidR="00883127" w:rsidRDefault="00883127" w:rsidP="00883127">
                  <w:pPr>
                    <w:keepLine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Par Ministru kabineta noteikumu projektu</w:t>
                  </w:r>
                </w:p>
              </w:tc>
            </w:tr>
          </w:tbl>
          <w:p w14:paraId="27CB2F92" w14:textId="77777777" w:rsidR="00883127" w:rsidRDefault="00883127" w:rsidP="00883127">
            <w:pPr>
              <w:keepLines/>
              <w:autoSpaceDE w:val="0"/>
              <w:autoSpaceDN w:val="0"/>
              <w:adjustRightInd w:val="0"/>
              <w:spacing w:after="0" w:line="240" w:lineRule="auto"/>
              <w:jc w:val="both"/>
              <w:rPr>
                <w:rFonts w:ascii="Times New Roman" w:hAnsi="Times New Roman" w:cs="Times New Roman"/>
                <w:color w:val="000000"/>
                <w:sz w:val="24"/>
                <w:szCs w:val="24"/>
              </w:rPr>
            </w:pPr>
          </w:p>
          <w:tbl>
            <w:tblPr>
              <w:tblW w:w="5000" w:type="pct"/>
              <w:tblCellMar>
                <w:left w:w="0" w:type="dxa"/>
                <w:right w:w="0" w:type="dxa"/>
              </w:tblCellMar>
              <w:tblLook w:val="00BF" w:firstRow="1" w:lastRow="0" w:firstColumn="1" w:lastColumn="0" w:noHBand="0" w:noVBand="0"/>
            </w:tblPr>
            <w:tblGrid>
              <w:gridCol w:w="9085"/>
            </w:tblGrid>
            <w:tr w:rsidR="00883127" w14:paraId="0A6E4FFD" w14:textId="77777777" w:rsidTr="00883127">
              <w:tc>
                <w:tcPr>
                  <w:tcW w:w="5000" w:type="pct"/>
                  <w:tcBorders>
                    <w:top w:val="nil"/>
                    <w:left w:val="nil"/>
                    <w:bottom w:val="nil"/>
                    <w:right w:val="nil"/>
                  </w:tcBorders>
                </w:tcPr>
                <w:p w14:paraId="38ECCE7A" w14:textId="77777777" w:rsidR="00883127" w:rsidRDefault="00883127" w:rsidP="00883127">
                  <w:pPr>
                    <w:keepLines/>
                    <w:autoSpaceDE w:val="0"/>
                    <w:autoSpaceDN w:val="0"/>
                    <w:adjustRightInd w:val="0"/>
                    <w:spacing w:before="240"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AS "Sadales tīkls" (turpmāk – ST) ir izskatījusi tiesību aktu portālā Ekonomikas ministrijas virzīto Ministru kabineta noteikumu "Grozījumi Ministru kabineta 2014. gada 21.janvāra noteikumos Nr. 50 "Elektroenerģijas tirdzniecības un lietošanas noteikumi"" projektu (turpmāk – Noteikumu projekts)  un izsaka šādus iebildumus, neatbalstot Noteikumu projekta tālāku virzību.</w:t>
                  </w:r>
                </w:p>
                <w:p w14:paraId="6FBA015F"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ST konceptuāli iebilst neto uzskaites sistēmas maiņai kā tādai. ST norāda, ka pašreizējā neto uzskaites sistēma sevi ir attaisnojusi kā labi un efektīvi darbojošos sistēmu, kas vērsta uz mājsaimniecības lietotāju interesēm. Ar attiecīgajiem grozījumiem nav saskatāms ieguvums sabiedrībai un elektroenerģijas lietotājiem. Grozījumi nav vērsti uz mājsaimniecības lietotāju interesēm, jo ievieš jaunus administratīvos šķēršļus, kas iepriekš nav tikuši noteikti, kā arī būtiski maina esošos procesus, kas līdz šim, ir labi sevi attaisnojuši. ST norāda, ka neto uzskaites sistēmas piemērošana pēc noklusējuma nekādā veidā neierobežo mājsaimniecības lietotāja iespējas izvelēties citu sistēmu saražotās elektroenerģijas realizācijai. Noteikumu projektā ietvertā kārtība paildzinās mikroģenerācijas pieslēgšanas procesu, un rada situācijas,  kad mājsaimniecības lietotāji ilgstoši nebūs izvēlējušies risinājumu, kādā realizēt saražoto elektroenerģiju, tādējādi elektrotīklā to nododot bezatlīdzības lietošanā sistēmas operatoram. Precizētais Noteikumu projekts neveicina elektroenerģijas centrisko modeli, kas priekš mājsaimniecības lietotājiem ir pats draudzīgākais risinājums. Atbilstoši precizēto Noteikumu projektā ietvertajam regulējumam, ST būtiski būs jāpārstrādā esošais mikroģenerācijas pieslēgšanas process, kas šobrīd ir izcils un nodrošina mājsaimniecības lietotājiem ērtu un ātru mikroģenerācijas pieslēgšanu. Lai ieviestu precizēto Noteikumu projektā paredzētās izmaiņas, ST būs nepieciešami divi gadi, lai veiktu nepieciešamās izmaiņas vairākās informācijas un tehnoloģijas sistēmās. Papildus investīcijas informācijas un tehnoloģijas sistēmās un procesu pielāgošanā, būtiski sadārdzinās šī pakalpojuma maksu, kas šobrīd tiek segta ar tarifu. Ņemot vērā, ka nav saskatāmi nekādi ieguvumi šādām izmaiņām, ST lūdz nevirzīt precizēto Noteikumu projektu izskatīšanai uz Ministru kabinetu.</w:t>
                  </w:r>
                </w:p>
                <w:p w14:paraId="4DD39EA9"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ST konceptuāli iebilst precizēto  Noteikumu projektā ietvertajam regulējumam saistībā ar neto netēšanu ikstundā, jo šādas būtiskas izmaiņas, kas iepriekš nav bijušas noteiktas, radītu nepieciešamību veikt jaunas un resursu ietilpīgas izstrādes sadales sistēmas operatora informāciju sistēmās, kā arī padarītu vēl komplicētāku elektroenerģijas neto uzskaites sistēmas administrēšanu. Elektroenerģijas neto uzskaites sistēmas tālākas attīstības un administrēšanas izmaksu pieauguma gadījumā arvien reālāka kļūtu nepieciešamība ieviest papildus pakalpojuma maksu šīs norēķinu sistēmas lietotājiem, lai novērstu potenciāli negatīvo ietekmi uz citu elektroenerģijas sadales sistēmas galalietotāju maksājumu apmēru. ST norāda, ka precizēto Noteikumu projektā paredzēto neto netēšanu ikstundā ir iespējams ieviest tikai līdz ar jaunu informācijas tehnoloģijas sistēmu, ko paredzēts izstrādāt no Atveseļošanas un noturības mehānisma finansējuma, un to plānots izdarīt ne ātrāk kā par 2026. gadu. Atbilstoši Elektroenerģijas tirgus likuama pārejas noteikumu 93. punktam mājsaimniecības lietotāji neto uzskaites sistēmas izmantošanai var pieteikties līdz 2026. gada 28. februārim. Līdz ar to nav samērīgi attīstīt tādas sistēmas, kuras ilgtermiņā nav plānots īstenot. ST atgādina, ka elektroenerģijas neto uzskaites sistēma mājsaimniecību lietotājiem izveidota un piemērojama ar mērķi veicināt no atjaunojamiem energoresursiem (turpmāk – AER) ražotas elektroenerģijas ražošanu patērēšanai paša vajadzībām (galapatēriņam), nodrošinot iespēju lietotājam elektrotīklā "uzkrāt" no AER saražotās elektroenerģijas pārpalikumu un patērēt to citā laika brīdī. Elektroenerģijas neto uzskaites sistēmas uzdevums nav nodrošināt komerciālus ieguvumus no saražotās elektroenerģijas pārpalikuma realizēšanas, t.sk. izmantošanas citos tirdzniecības intervālos. Komerciālu mērķu īstenošanai ikviens sistēmas lietotājs jau šobrīd var izvēlēties iespēju vienoties ar elektroenerģijas tirgotāju par saražotās elektroenerģijas pārpalikuma tirdzniecību, kā īstenošanai ST iesaistītajām pusēm nodod elektroenerģijas uzskaites ikstundas datus par tīklā nodoto un no tīkla saņemto faktisko elektroenerģijas apjomu. ST ieskatā, līdz ar neto norēķinu sistēmas ieviešanu, tirgū pastāvēs arī alternatīvas, kuras lietotāji var izvelēties. Tiem lietotājiem, kuriem ir būtiski, ka tā elektroenerģija tiek uzskaitīta ikstundā, tad to spēs nodrošināt neto norēķinu sistēma un lietotājiem būs brīva izvēle, kuru no sistēmām izvēlēties.</w:t>
                  </w:r>
                </w:p>
                <w:p w14:paraId="4A7A8AB1"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Gadījumā, ja netiek ņemti vērā ST konceptuālie iebildumi un precizētais Noteikumu projekts tiek virzīts izskatīšanai uz Ministru kabinetu, tad turpmāk izsakām iebildumus ar nepieciešamību precizēt precizēto Noteikumu projektu: </w:t>
                  </w:r>
                </w:p>
                <w:p w14:paraId="5A278536"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u w:val="single"/>
                    </w:rPr>
                  </w:pPr>
                  <w:r>
                    <w:rPr>
                      <w:rFonts w:ascii="Times New Roman" w:hAnsi="Times New Roman" w:cs="Times New Roman"/>
                      <w:color w:val="000000"/>
                      <w:sz w:val="24"/>
                      <w:szCs w:val="24"/>
                    </w:rPr>
                    <w:t xml:space="preserve">1.     </w:t>
                  </w:r>
                  <w:r>
                    <w:rPr>
                      <w:rFonts w:ascii="Times New Roman" w:hAnsi="Times New Roman" w:cs="Times New Roman"/>
                      <w:color w:val="000000"/>
                      <w:sz w:val="24"/>
                      <w:szCs w:val="24"/>
                      <w:u w:val="single"/>
                    </w:rPr>
                    <w:t>Attiecībā uz neto uzskaites sistēmu:</w:t>
                  </w:r>
                </w:p>
                <w:p w14:paraId="392E4B73"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1.1. ST norāda, ka piedāvātie grozījumi Noteikumu projektā attiecībā uz neto uzskaites sistēmu būtiski maina esošo kārtību un normatīvajos aktos nostiprinātos procesus, uz kā pamata ir izstrādāti ST procesi.  ST būs nepieciešams papildus laiks procesu un sistēmas pielāgošanai, jo pretējā gadījumā, tas radīs papildus administratīvo slogu sistēmas operatoram manuāli apstrādāt vairāk kā 10 000 vienošanās gadā (ar pieaugošu tendenci), tostarp būs jāveic izmaiņas šā brīža automatizētajos procesos. Veicot grozījumus Noteikumu projektā un mainot neto uzskaites sistēmas procesus ir būtiski izvērtēt veikto grozījumu ieviešanas aspektus un nepieciešamos resursus, un termiņus. ST norāda, ka Noteikumu projektā ietvertā procesa maiņa padarīs neto uzskaites sistēmas piemērošanu mājsaimniecības lietotājiem ekonomiski neizdevīgu ar nevajadzīgiem administratīviem šķēršļiem. Vienlaikus lūdzam papildināt anotāciju ar skaidrojumu par nepieciešamību mainīt esošo neto uzskaites sistēmas kārtību.</w:t>
                  </w:r>
                </w:p>
                <w:p w14:paraId="401144A8"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1.2. Ar Noteikumu projekta 13. punktu tiek noteikts, ka neto uzskaites sistēmu piemēro, ja mājsaimniecības lietotājs un sadales sistēmas operators ir savstarpēji vienojies par elektroenerģijas neto uzskaites sistēmas piemērošanu. ST vērš uzmanību, ka nav racionāli un pamatoti radīt tādus administratīvos šķēršļus, kas paildzina mikroģeneratora pieslēgšanas procesu. Ņemot vērā, ka ar Noteikumu projekta 13. punktu tiek mainīta esošā kārtība, ir nepieciešams paredzēt pārejas periodu vai precizēt minēto normu.</w:t>
                  </w:r>
                  <w:r>
                    <w:rPr>
                      <w:rFonts w:ascii="Calibri" w:hAnsi="Calibri" w:cs="Calibri"/>
                      <w:color w:val="000000"/>
                    </w:rPr>
                    <w:t xml:space="preserve"> </w:t>
                  </w:r>
                  <w:r>
                    <w:rPr>
                      <w:rFonts w:ascii="Times New Roman" w:hAnsi="Times New Roman" w:cs="Times New Roman"/>
                      <w:color w:val="000000"/>
                      <w:sz w:val="24"/>
                      <w:szCs w:val="24"/>
                    </w:rPr>
                    <w:t xml:space="preserve">ST norāda, ka Noteikumu projektā ietvertā procesa maiņa padarīs neto uzskaites sistēmas piemērošanu mājsaimniecības lietotājiem ekonomiski neizdevīgu ar nevajadzīgiem administratīviem šķēršļiem. </w:t>
                  </w:r>
                </w:p>
                <w:p w14:paraId="7183BE9D"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1.3.  Noteikumu projekta 13. punkts neparedz termiņu kādā ir jānoslēdz vienošanās un brīdi, kad sistēmas operators sāk piemērot neto uzskaites sistēmu, respektīvi, Noteikumu projekts papildināms ar normām, paredzot kārtību, kad neto uzskaites sistēma tiek piemērota. ST ieskatā Noteikumu projekta ietvertā atšķirīgā regulējuma nepieciešamība radīs riskus, kad mājsaimniecības lietotāji bezatlīdzības lietošanās tīklā nodos saražoto elektroenerģiju, jo vienošanās noslēgšana un atļaujas izsniegšana var nenotikt vienā dienā. </w:t>
                  </w:r>
                </w:p>
                <w:p w14:paraId="66348837"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1.4. Lūdzam skaidrot kāpēc Noteikumu projekta 18.</w:t>
                  </w:r>
                  <w:r>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xml:space="preserve"> punktā, paredzēto lietotāja maiņas gadījumā, netiek paredzēta vienošanās nepieciešamība ar jauno lietotāju, savukārt šāda vienošanās nepieciešamība ir tikai Noteikumu projektu 13. punkta gadījumā.</w:t>
                  </w:r>
                </w:p>
                <w:p w14:paraId="085A9780"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1.5. ST norāda, ka Noteikumu projekta 18.</w:t>
                  </w:r>
                  <w:r>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xml:space="preserve"> punktā nepieciešams precizēt normā lietoto terminu "lietotājs", jo ar to tiek saprasts jebkurš lietotājs (mājsaimniecība un juridiskā persona), savukārt neto uzskaites sistēmu ir tiesīgi izmantot tikai mājsaimniecības lietotāji, proti, arī lietotājam ir jāatbilst neto uzskaites sistēmas piemērošanas nosacījumiem. </w:t>
                  </w:r>
                </w:p>
                <w:p w14:paraId="1672C419"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1.6. Lūdzam skaidrot Noteikumu projekta 18.</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xml:space="preserve"> punktā ietvertos vārdus "</w:t>
                  </w:r>
                  <w:r>
                    <w:rPr>
                      <w:rFonts w:ascii="Times New Roman" w:hAnsi="Times New Roman" w:cs="Times New Roman"/>
                      <w:i/>
                      <w:iCs/>
                      <w:color w:val="000000"/>
                      <w:sz w:val="24"/>
                      <w:szCs w:val="24"/>
                    </w:rPr>
                    <w:t xml:space="preserve">piemērošanu, mājsaimniecības lietotājam aprēķinātais negatīvais elektroenerģijas neto patēriņš turpmākajos norēķinos par elektroenerģiju </w:t>
                  </w:r>
                  <w:r>
                    <w:rPr>
                      <w:rFonts w:ascii="Times New Roman" w:hAnsi="Times New Roman" w:cs="Times New Roman"/>
                      <w:b/>
                      <w:bCs/>
                      <w:i/>
                      <w:iCs/>
                      <w:color w:val="000000"/>
                      <w:sz w:val="24"/>
                      <w:szCs w:val="24"/>
                    </w:rPr>
                    <w:t>netiek ņemts vērā</w:t>
                  </w:r>
                  <w:r>
                    <w:rPr>
                      <w:rFonts w:ascii="Times New Roman" w:hAnsi="Times New Roman" w:cs="Times New Roman"/>
                      <w:color w:val="000000"/>
                      <w:sz w:val="24"/>
                      <w:szCs w:val="24"/>
                    </w:rPr>
                    <w:t>" nevis dzēsts un "</w:t>
                  </w:r>
                  <w:r>
                    <w:rPr>
                      <w:rFonts w:ascii="Times New Roman" w:hAnsi="Times New Roman" w:cs="Times New Roman"/>
                      <w:i/>
                      <w:iCs/>
                      <w:color w:val="000000"/>
                      <w:sz w:val="24"/>
                      <w:szCs w:val="24"/>
                    </w:rPr>
                    <w:t xml:space="preserve">sadales sistēmas operators </w:t>
                  </w:r>
                  <w:r>
                    <w:rPr>
                      <w:rFonts w:ascii="Times New Roman" w:hAnsi="Times New Roman" w:cs="Times New Roman"/>
                      <w:b/>
                      <w:bCs/>
                      <w:i/>
                      <w:iCs/>
                      <w:color w:val="000000"/>
                      <w:sz w:val="24"/>
                      <w:szCs w:val="24"/>
                    </w:rPr>
                    <w:t>atjauno</w:t>
                  </w:r>
                  <w:r>
                    <w:rPr>
                      <w:rFonts w:ascii="Times New Roman" w:hAnsi="Times New Roman" w:cs="Times New Roman"/>
                      <w:color w:val="000000"/>
                      <w:sz w:val="24"/>
                      <w:szCs w:val="24"/>
                    </w:rPr>
                    <w:t xml:space="preserve">". Lūdzam skaidrot, vai ar minēto norādi būtu uzskatāms, ka sistēmas operatoram nepieciešams uzglabāt vēsturiskos mājsaimniecības lietotāja datus un jāturpina tā uzskaite, kad mājsaimniecības lietotāju atjauno neto uzskaites sistēmā. </w:t>
                  </w:r>
                </w:p>
                <w:p w14:paraId="4BD9A835"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1.7. Noteikumu projekta 18.</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xml:space="preserve"> punkts jāpapildina ar kārtību, kādā mājsaimniecības lietotājs tiek atjaunots neto uzskaites sistēmā, respektīvi, Noteikumu projekts papildināms ar kārtību vai vēsturiskie dati tiek ņemti vērā atjaunoto mājsaimniecības lietotāju neto uzskaites sistēmā vai sistēmas operatoram nepieciešams uzglabās vēsturiskos datus, kad vēsturiskie dati tiek dzēsti, no kura brīža atjaunojot mājsaimniecības lietotāju neto uzskaites sistēmā tiek uzsāka/turpināta uzkrājumu veidošanās. ST norāda, lai nodrošinātu Noteikumu projekta 13.punktā ietverto vispārīgo principu, ka neto uzskaites sistēmas piemērošanas pamatā ir jābūt noslēgtai vienošanās, tad arī atjaunojot mājsaimniecības lietotāju, sistēmas operatoram būs jāslēdz vienošanās ar mājsaimniecības lietotāju, kas radīs papildus administratīvos šķēršļus efektīvai neto uzskaites sistēmas izmantošanai. </w:t>
                  </w:r>
                </w:p>
                <w:p w14:paraId="7816CAC6"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1.8. ST norāda, ka tirgotāji izmanto vienu un to pašu tirgus ziņojumu, kad tirgotājs neto norēķinu sistēmas ietvaros vai elektroenerģijas iepircējs pārtrauc elektroenerģijas iepirkšanu. Lai nodrošinātu Noteikumu projekta 18.</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xml:space="preserve"> punktā ietverto pienākumu, ST būs nepieciešams papildus laiks, lai pielāgotu procesus, jo šobrīd normatīvie akti paredz būtiski atšķirīgu neto uzskaites sistēmas procesu un šobrīd nav iespējas identificēt, vai tirgotājs neto norēķinu sistēmas ietvaros vai elektroenerģijas iepircējs ir iesūtījis tirgus ziņojumu par elektroenerģijas pārdošanas izbeigšanu. Lūdzam Noteikumu projekta 18.</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xml:space="preserve"> punkta piemērošanai paredzēt divu gadu pārejas periodu.</w:t>
                  </w:r>
                </w:p>
                <w:p w14:paraId="1D6DFFC0"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1.9. Lūdzam precizēt vai svītrot Noteikumu projekta 18.</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punktā paredzēto neto netēšana ikstundā. Lai nodrošinātu Noteikumu projekta 18.</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punktā paredzēto neto netēšanu ikstundā ir nepieciešams būtiskas izmaiņas procesos, kas atstātu ietekmi uz tarifiem. Vienlaikus jāņem vērā, ka neto uzskaites sistēmā jaunie dalībnieki var pieteikties līdz 2026. gadam, līdz ar to nebūtu racionāli un samērīgi izstrādāt tādu normatīvo aktu ietvaru, kas paredz attīstīt un investēt procesos, kur neto uzskaites sistēmas izmantošana turpmāk netiek paredzēta. ST ieskatā veiktās investīcijas būs nesamērīgas ar plānotajiem ieguvumiem, kas gulsies uz lietotājiem.</w:t>
                  </w:r>
                </w:p>
                <w:p w14:paraId="1FF918EE"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23E346F"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u w:val="single"/>
                    </w:rPr>
                  </w:pPr>
                  <w:r>
                    <w:rPr>
                      <w:rFonts w:ascii="Times New Roman" w:hAnsi="Times New Roman" w:cs="Times New Roman"/>
                      <w:color w:val="000000"/>
                      <w:sz w:val="24"/>
                      <w:szCs w:val="24"/>
                    </w:rPr>
                    <w:t xml:space="preserve">2.     </w:t>
                  </w:r>
                  <w:r>
                    <w:rPr>
                      <w:rFonts w:ascii="Times New Roman" w:hAnsi="Times New Roman" w:cs="Times New Roman"/>
                      <w:color w:val="000000"/>
                      <w:sz w:val="24"/>
                      <w:szCs w:val="24"/>
                      <w:u w:val="single"/>
                    </w:rPr>
                    <w:t>Attiecībā uz neto norēķinu sistēmu:</w:t>
                  </w:r>
                </w:p>
                <w:p w14:paraId="176E553A"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2.1. ST vērš uzmanību, ka analoģiski kā neto uzskaites sistēmas gadījumā, arī neto norēķinu sistēmu aktīvais lietotājs ir tiesīgs neto norēķinu sistēmu izmantot tikai pēc tam, kad sistēmas operators izdevis atļauju par elektroenerģijas ražošanas iekārtas pieslēgšanu paralēlam darbam ar sadales sistēmu attiecīgajā objektā. Vienošanās ar tirgotāju nevar būt kā pamats, lai uzskatītu, ka aktīvā lietotāja iekārtas ir atbilstoši pieslēgtas elektrotīklam. Lūdzam Noteikumu projektu papildināt ar normām, kas paredz kārtību, ka neto norēķinu sistēmu izmantošanai ir jāsaņem sistēmas operatora izdota atļauja. </w:t>
                  </w:r>
                </w:p>
                <w:p w14:paraId="7EC84FCF"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2.2. Noteikumu projekta 18.</w:t>
                  </w:r>
                  <w:r>
                    <w:rPr>
                      <w:rFonts w:ascii="Times New Roman" w:hAnsi="Times New Roman" w:cs="Times New Roman"/>
                      <w:color w:val="000000"/>
                      <w:sz w:val="24"/>
                      <w:szCs w:val="24"/>
                      <w:vertAlign w:val="superscript"/>
                    </w:rPr>
                    <w:t>6</w:t>
                  </w:r>
                  <w:r>
                    <w:rPr>
                      <w:rFonts w:ascii="Times New Roman" w:hAnsi="Times New Roman" w:cs="Times New Roman"/>
                      <w:color w:val="000000"/>
                      <w:sz w:val="24"/>
                      <w:szCs w:val="24"/>
                    </w:rPr>
                    <w:t xml:space="preserve"> punktā noteikts, ka neto norēķinu sistēmas izmantošanu </w:t>
                  </w:r>
                  <w:r>
                    <w:rPr>
                      <w:rFonts w:ascii="Times New Roman" w:hAnsi="Times New Roman" w:cs="Times New Roman"/>
                      <w:b/>
                      <w:bCs/>
                      <w:color w:val="000000"/>
                      <w:sz w:val="24"/>
                      <w:szCs w:val="24"/>
                    </w:rPr>
                    <w:t>sāk nākamajā dienā</w:t>
                  </w:r>
                  <w:r>
                    <w:rPr>
                      <w:rFonts w:ascii="Times New Roman" w:hAnsi="Times New Roman" w:cs="Times New Roman"/>
                      <w:color w:val="000000"/>
                      <w:sz w:val="24"/>
                      <w:szCs w:val="24"/>
                    </w:rPr>
                    <w:t>, kad sadales sistēmas operators saņēmis noteikumu 18.</w:t>
                  </w:r>
                  <w:r>
                    <w:rPr>
                      <w:rFonts w:ascii="Times New Roman" w:hAnsi="Times New Roman" w:cs="Times New Roman"/>
                      <w:color w:val="000000"/>
                      <w:sz w:val="24"/>
                      <w:szCs w:val="24"/>
                      <w:vertAlign w:val="superscript"/>
                    </w:rPr>
                    <w:t>5</w:t>
                  </w:r>
                  <w:r>
                    <w:rPr>
                      <w:rFonts w:ascii="Times New Roman" w:hAnsi="Times New Roman" w:cs="Times New Roman"/>
                      <w:color w:val="000000"/>
                      <w:sz w:val="24"/>
                      <w:szCs w:val="24"/>
                    </w:rPr>
                    <w:t xml:space="preserve"> punktā noteikto informāciju. ST ieskatā neto norēķinu sistēmas izmantošana un uzskaite būtu jāsasaista ar biržas atvēršanas laiku, ņemot vērā, ka neto norēķinu sistēmā aprēķinātā vērtība tiek noteikta atbilstoši biržai "Nord Pool AS" (Noteikumu projekta 18.</w:t>
                  </w:r>
                  <w:r>
                    <w:rPr>
                      <w:rFonts w:ascii="Times New Roman" w:hAnsi="Times New Roman" w:cs="Times New Roman"/>
                      <w:color w:val="000000"/>
                      <w:sz w:val="24"/>
                      <w:szCs w:val="24"/>
                      <w:vertAlign w:val="superscript"/>
                    </w:rPr>
                    <w:t>14</w:t>
                  </w:r>
                  <w:r>
                    <w:rPr>
                      <w:rFonts w:ascii="Times New Roman" w:hAnsi="Times New Roman" w:cs="Times New Roman"/>
                      <w:color w:val="000000"/>
                      <w:sz w:val="24"/>
                      <w:szCs w:val="24"/>
                    </w:rPr>
                    <w:t xml:space="preserve"> 1.apakšpunkts). Atbilstoši Komisijas Regulas Nr.2015/1222 ( pieejams: </w:t>
                  </w:r>
                  <w:hyperlink r:id="rId6" w:history="1">
                    <w:r>
                      <w:rPr>
                        <w:rFonts w:ascii="Times New Roman" w:hAnsi="Times New Roman" w:cs="Times New Roman"/>
                        <w:color w:val="000000"/>
                        <w:sz w:val="24"/>
                        <w:szCs w:val="24"/>
                        <w:u w:val="single"/>
                      </w:rPr>
                      <w:t> https://eur-lex.europa.eu/legal-content/LV/TXT/HTML/?uri=CELEX:32015R1222&amp;from=EN</w:t>
                    </w:r>
                  </w:hyperlink>
                  <w:r>
                    <w:rPr>
                      <w:rFonts w:ascii="Times New Roman" w:hAnsi="Times New Roman" w:cs="Times New Roman"/>
                      <w:color w:val="000000"/>
                      <w:sz w:val="24"/>
                      <w:szCs w:val="24"/>
                    </w:rPr>
                    <w:t xml:space="preserve">) 46.panta pirmajam punktam un 47.panta pirmajam punktam, tirgus atvēršanas laiks ir ne vēlāks kā plkst. 11.00 pēc nākamās dienas tirgus laika. Savukārt "tirgus laiks" atbilstoši šīs pašas Regulas 2.panta 15.punktam ir Centrāleiropas laiks, kas ir -1 stunda no Latvijas laika. Tas nozīmē, ka neto norēķinu sistēmas izmantošana atsevišķos gadījumos var notikt ar to pašu dienu, kad tirgotājs paziņojis par neto norēķinu sistēmas izmantošanu. Nebūtu pieļaujama situācija, ka neto norēķinu sistēmas izmantošanai var pieteikties aktīvie lietotāji, jau zinot nākamās dienas elektroenerģijas cenu. </w:t>
                  </w:r>
                </w:p>
                <w:p w14:paraId="65AAABD0"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2.3. Noteikumu projekta 18.</w:t>
                  </w:r>
                  <w:r>
                    <w:rPr>
                      <w:rFonts w:ascii="Times New Roman" w:hAnsi="Times New Roman" w:cs="Times New Roman"/>
                      <w:color w:val="000000"/>
                      <w:sz w:val="24"/>
                      <w:szCs w:val="24"/>
                      <w:vertAlign w:val="superscript"/>
                    </w:rPr>
                    <w:t>9</w:t>
                  </w:r>
                  <w:r>
                    <w:rPr>
                      <w:rFonts w:ascii="Times New Roman" w:hAnsi="Times New Roman" w:cs="Times New Roman"/>
                      <w:color w:val="000000"/>
                      <w:sz w:val="24"/>
                      <w:szCs w:val="24"/>
                    </w:rPr>
                    <w:t xml:space="preserve"> punktā norādīts, ka </w:t>
                  </w:r>
                  <w:r>
                    <w:rPr>
                      <w:rFonts w:ascii="Times New Roman" w:hAnsi="Times New Roman" w:cs="Times New Roman"/>
                      <w:i/>
                      <w:iCs/>
                      <w:color w:val="000000"/>
                      <w:sz w:val="24"/>
                      <w:szCs w:val="24"/>
                    </w:rPr>
                    <w:t xml:space="preserve">līguma par elektroenerģijas neto norēķinu sistēmas izmantošanu darbība tiek </w:t>
                  </w:r>
                  <w:r>
                    <w:rPr>
                      <w:rFonts w:ascii="Times New Roman" w:hAnsi="Times New Roman" w:cs="Times New Roman"/>
                      <w:b/>
                      <w:bCs/>
                      <w:i/>
                      <w:iCs/>
                      <w:color w:val="000000"/>
                      <w:sz w:val="24"/>
                      <w:szCs w:val="24"/>
                    </w:rPr>
                    <w:t>apturēta</w:t>
                  </w:r>
                  <w:r>
                    <w:rPr>
                      <w:rFonts w:ascii="Times New Roman" w:hAnsi="Times New Roman" w:cs="Times New Roman"/>
                      <w:i/>
                      <w:iCs/>
                      <w:color w:val="000000"/>
                      <w:sz w:val="24"/>
                      <w:szCs w:val="24"/>
                    </w:rPr>
                    <w:t>, ja no atjaunojamiem energoresursiem iegūtas elektroenerģijas aktīvais lietotājs vienojas ar tirgotāju par saražotās elektroenerģijas pārdošanu</w:t>
                  </w:r>
                  <w:r>
                    <w:rPr>
                      <w:rFonts w:ascii="Times New Roman" w:hAnsi="Times New Roman" w:cs="Times New Roman"/>
                      <w:color w:val="000000"/>
                      <w:sz w:val="24"/>
                      <w:szCs w:val="24"/>
                    </w:rPr>
                    <w:t xml:space="preserve">. Lūdzam skaidrot vai ar terminu "apturēts" tiek izprasts, ka vēlāk tirgotājs neto norēķinu sistēmu atjauno. Vienlaikus noteikumu projektu nepieciešams papildināt ar normām, paredzot kārtību, kas notiek ar lietotāja uzkrājumu neto norēķinu sistēmas apturēšanas gadījumā un gadījumus, kad tas tiek dzēsts vai izmaksāts, un lietotāja maiņas gadījumā. </w:t>
                  </w:r>
                </w:p>
                <w:p w14:paraId="5F8E2EE4"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2.4. Noteikumu projekta 18.</w:t>
                  </w:r>
                  <w:r>
                    <w:rPr>
                      <w:rFonts w:ascii="Times New Roman" w:hAnsi="Times New Roman" w:cs="Times New Roman"/>
                      <w:color w:val="000000"/>
                      <w:sz w:val="24"/>
                      <w:szCs w:val="24"/>
                      <w:vertAlign w:val="superscript"/>
                    </w:rPr>
                    <w:t>11</w:t>
                  </w:r>
                  <w:r>
                    <w:rPr>
                      <w:rFonts w:ascii="Times New Roman" w:hAnsi="Times New Roman" w:cs="Times New Roman"/>
                      <w:color w:val="000000"/>
                      <w:sz w:val="24"/>
                      <w:szCs w:val="24"/>
                    </w:rPr>
                    <w:t xml:space="preserve"> punktā lūdzam aizstāt vārdus "piecu darbdienu laikā" ar vārdiem "desmit dienu laikā", tādējādi salāgojot ar šobrīd esošo  kārtību, kas noslēgta starp tirgotājiem un sistēmas operatoru.  </w:t>
                  </w:r>
                </w:p>
                <w:p w14:paraId="6CA9C2FB"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2.5. Lūdzam skaidrot, kāpēc Noteikumu projekta 18.</w:t>
                  </w:r>
                  <w:r>
                    <w:rPr>
                      <w:rFonts w:ascii="Times New Roman" w:hAnsi="Times New Roman" w:cs="Times New Roman"/>
                      <w:color w:val="000000"/>
                      <w:sz w:val="24"/>
                      <w:szCs w:val="24"/>
                      <w:vertAlign w:val="superscript"/>
                    </w:rPr>
                    <w:t>15</w:t>
                  </w:r>
                  <w:r>
                    <w:rPr>
                      <w:rFonts w:ascii="Times New Roman" w:hAnsi="Times New Roman" w:cs="Times New Roman"/>
                      <w:color w:val="000000"/>
                      <w:sz w:val="24"/>
                      <w:szCs w:val="24"/>
                    </w:rPr>
                    <w:t xml:space="preserve"> 1. apakšpunktā iepirkuma cena ir sasaistīta ar nākamās dienas stundas cenu nevis ar tekošās dienas cenu, kad elektroenerģija ir saražota un nodota tīklā (skatīt atzinuma 2.2. apakšunktu).</w:t>
                  </w:r>
                </w:p>
                <w:p w14:paraId="47AA1570"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63054613"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u w:val="single"/>
                    </w:rPr>
                  </w:pPr>
                  <w:r>
                    <w:rPr>
                      <w:rFonts w:ascii="Times New Roman" w:hAnsi="Times New Roman" w:cs="Times New Roman"/>
                      <w:color w:val="000000"/>
                      <w:sz w:val="24"/>
                      <w:szCs w:val="24"/>
                    </w:rPr>
                    <w:t xml:space="preserve">3.     </w:t>
                  </w:r>
                  <w:r>
                    <w:rPr>
                      <w:rFonts w:ascii="Times New Roman" w:hAnsi="Times New Roman" w:cs="Times New Roman"/>
                      <w:color w:val="000000"/>
                      <w:sz w:val="24"/>
                      <w:szCs w:val="24"/>
                      <w:u w:val="single"/>
                    </w:rPr>
                    <w:t>Attiecībā uz pēdējo garantēto piegādātāju:</w:t>
                  </w:r>
                </w:p>
                <w:p w14:paraId="5C5E1F51"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3.1. ST norāda, ka pēdējam garantētajam piegādātājam, kā jebkuram tirgotājam būs pienākums nodrošināt neto norēķinu sistēmu. Vienlaikus ST norāda, ka atbilstoši šobrīd spēkā esošajiem normatīvajiem aktiem un noslēgtajai vienošanās starp sistēmas operatoru un pēdējo garantēto piegādātāju, pēdējam garantētajam piegādātājam nav uzlikts par pienākumu nodrošināt neto norēķinu sistēmu. Atbilstoši Elektroenerģijas tirgus likuma 18. panta sestajai daļai sistēmas operators atlasa tirgotāju pēdējās garantētās piegādes veikšanai, savukārt Civillikuma 3. pants nosaka, ka katra civiltiesiska attiecība apspriežama pēc likumiem, kas bijuši spēkā tad, kad šī attiecība radusies. Gadījumā, ja ir plānots attiecināt jauno regulējumu uz jau noslēgtajām vienošanām  vai ieskātiem procesiem (saistībā ar pēdējo garantēto piegādi), tad normatīvajā aktā ir tieši jāparedz normas atpakaļvērstais spēks, kas nozīmē, ka attiecīgā norma, kas uzliktu par pienākumu esošajam pēdējam garantētajam piegādātājam nodrošināt neto norēķinu sistēmu ir tieši un skaidri jāparedz Noteikumu projektā, pretējā gadījumā normas piemērošana ir vērsta uz nākotnēs darbībām, t.i., konkursa kārtībā izvēloties nākamo pēdējo garantēto piegādātāju. </w:t>
                  </w:r>
                </w:p>
                <w:p w14:paraId="21E44D28"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3.2. ST ieskatā pēdējam garantētajam piegādātājam nebūtu jāparedz pienākums nodrošināt neto norēķinu sistēmas izmantošanu, tādējādi veicinot lietotājus pēc iespējas ātrāk atrast tirgotāju un nepamatoti neuzkavēties pie pēdējā garantētā piegādātāja. </w:t>
                  </w:r>
                </w:p>
                <w:p w14:paraId="4E70AC21"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3885B75"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u w:val="single"/>
                    </w:rPr>
                  </w:pPr>
                  <w:r>
                    <w:rPr>
                      <w:rFonts w:ascii="Times New Roman" w:hAnsi="Times New Roman" w:cs="Times New Roman"/>
                      <w:color w:val="000000"/>
                      <w:sz w:val="24"/>
                      <w:szCs w:val="24"/>
                    </w:rPr>
                    <w:t xml:space="preserve">4.     </w:t>
                  </w:r>
                  <w:r>
                    <w:rPr>
                      <w:rFonts w:ascii="Times New Roman" w:hAnsi="Times New Roman" w:cs="Times New Roman"/>
                      <w:color w:val="000000"/>
                      <w:sz w:val="24"/>
                      <w:szCs w:val="24"/>
                      <w:u w:val="single"/>
                    </w:rPr>
                    <w:t>Attiecībā uz pārejas noteikumiem:</w:t>
                  </w:r>
                </w:p>
                <w:p w14:paraId="31297FCE"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4.1. ST lūdz precizēt Noteikumu projekta 144. punktu, ļaujot mājsaimniecības lietotājam veikt izvēli turpmākai saražotās elektroenerģijas realizācijai, respektīvi, ļaujot veikt izvēli starp neto uzskaites vai norēķinu sistēmu nevis pēc noklusējuma piemērot elektroenerģijas neto uzskaites sistēmu. </w:t>
                  </w:r>
                </w:p>
                <w:p w14:paraId="2018D5AF"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4.2. Lūdzam skaidrot, kāpēc Noteikumu projekta 145. punktā ietvertais nosacījums, ka neto uzskaites sistēmā uzkrātais elektroenerģijas apjoms tiek dzēsts 2023. gada  28. februārī, tiek attiecināts tikai uz tiem mājsaimniecības lietotājiem, kuri neto uzskaites sistēmu ir uzsākuši lietot pirms 2022. gada 1. decembra. ST ieskatā minētajam regulējumam būtu jābūt horizontālam neatkarīgi no neto uzskaites sistēmas uzsākšanas brīža, tas ir, arī pēc 2022. gada 1.decembra.</w:t>
                  </w:r>
                </w:p>
                <w:p w14:paraId="73CA57DD"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499A974"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     ST lūdz Noteikumu projektu papildināt ar regulējumu, ka tirgotājam ir jāsaņem lietotāja piekrišana informācijas saņemšanai no sadales sistēmas operatora par aktīvā lietotāja saražoto un patērēto elektroenerģiju. ST norāda, ka atbilstoši datu aizsardzības jomas normatīvo aktu prasībām puses savstarpēji nevar vienoties par trešās personas datu nodošanu bez attiecīgās personas piekrišanas. Šādam pienākumam ir jābūt tieši un skaidri noteiktam normatīvajā aktā. ST vērš uzmanību, ka atbilstoši Ministru kabinets noteikumu Nr. 50 "Elektroenerģijas tirdzniecības un lietošanas noteikumi" 129. punktam sistēmas operatoram pēc tirgotāja pieprasījuma ir jāsniedz informācija </w:t>
                  </w:r>
                  <w:r>
                    <w:rPr>
                      <w:rFonts w:ascii="Times New Roman" w:hAnsi="Times New Roman" w:cs="Times New Roman"/>
                      <w:color w:val="000000"/>
                      <w:sz w:val="24"/>
                      <w:szCs w:val="24"/>
                      <w:u w:val="single"/>
                    </w:rPr>
                    <w:t>par lietotāja elektroenerģijas patēriņa</w:t>
                  </w:r>
                  <w:r>
                    <w:rPr>
                      <w:rFonts w:ascii="Times New Roman" w:hAnsi="Times New Roman" w:cs="Times New Roman"/>
                      <w:color w:val="000000"/>
                      <w:sz w:val="24"/>
                      <w:szCs w:val="24"/>
                    </w:rPr>
                    <w:t xml:space="preserve"> un slodzes profila vēsturi, nevis par lietotāja saražoto elektroenerģiju. Uz doto brīdi normatīvajos aktos nav noteikts pienākums sistēmas operatoram nodot tirgotājam lietotāja saražotās elektroenerģijas datus. </w:t>
                  </w:r>
                </w:p>
                <w:p w14:paraId="06069DD6"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6.     Elektroenerģijas tirgus likuma 30.</w:t>
                  </w:r>
                  <w:r>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xml:space="preserve"> panta piektā daļa nosaka, ka mājsaimniecības lietotājam ir vienreizējas tiesības pāriet no elektroenerģijas neto uzskaites sistēmas uz elektroenerģijas neto norēķinu sistēmu. ST norāda, ka Noteikumu projekts nerisina situācijas, vai mājsaimniecības lietotājam no neto uzskaites sistēmas pārejot uz iepircēju, bet pēc tam uz neto norēķinu sistēmu ir tiesīgs atgriezties neto norēķinu sistēmā. ST vērš uzmanību, ja lietotajiem dod tiesības šādi ikdienu mainīt sistēmu savas saražotās elektroenerģijas realizācijai, tad Noteikumu projekts veicinās šādu lietotāju pārejas no sistēmas un sistēmu, kas, savukārt, rada administrēšanas problemātiku un būtu pretrunā ar Elektroenerģijas tirgus likumā nostiprināto vienvirziena izeju no neto uzskaites sistēmas.</w:t>
                  </w:r>
                </w:p>
                <w:p w14:paraId="46E1D449"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6099E18A" w14:textId="77777777" w:rsidR="00883127" w:rsidRDefault="00883127" w:rsidP="00883127">
                  <w:pPr>
                    <w:keepLines/>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ST aicina Ekonomikas ministriju uz diskusiju, lai pārrunātu ST izteiktos iebildumus.</w:t>
                  </w:r>
                </w:p>
              </w:tc>
            </w:tr>
          </w:tbl>
          <w:p w14:paraId="44FF631E" w14:textId="77777777" w:rsidR="00883127" w:rsidRDefault="00883127" w:rsidP="00883127">
            <w:pPr>
              <w:keepLines/>
              <w:autoSpaceDE w:val="0"/>
              <w:autoSpaceDN w:val="0"/>
              <w:adjustRightInd w:val="0"/>
              <w:spacing w:after="0" w:line="240" w:lineRule="auto"/>
              <w:rPr>
                <w:rFonts w:ascii="Times New Roman" w:hAnsi="Times New Roman" w:cs="Times New Roman"/>
                <w:color w:val="000000"/>
                <w:sz w:val="24"/>
                <w:szCs w:val="24"/>
              </w:rPr>
            </w:pPr>
          </w:p>
          <w:p w14:paraId="148A574F" w14:textId="77777777" w:rsidR="00883127" w:rsidRDefault="00883127" w:rsidP="00883127">
            <w:pPr>
              <w:keepLines/>
              <w:autoSpaceDE w:val="0"/>
              <w:autoSpaceDN w:val="0"/>
              <w:adjustRightInd w:val="0"/>
              <w:spacing w:after="0" w:line="240" w:lineRule="auto"/>
              <w:rPr>
                <w:rFonts w:ascii="Times New Roman" w:hAnsi="Times New Roman" w:cs="Times New Roman"/>
                <w:color w:val="000000"/>
                <w:sz w:val="24"/>
                <w:szCs w:val="24"/>
              </w:rPr>
            </w:pPr>
          </w:p>
          <w:p w14:paraId="1A442A46" w14:textId="77777777" w:rsidR="00883127" w:rsidRDefault="00883127" w:rsidP="00883127">
            <w:pPr>
              <w:keepLines/>
              <w:autoSpaceDE w:val="0"/>
              <w:autoSpaceDN w:val="0"/>
              <w:adjustRightInd w:val="0"/>
              <w:spacing w:after="0" w:line="240" w:lineRule="auto"/>
              <w:rPr>
                <w:rFonts w:ascii="Times New Roman" w:hAnsi="Times New Roman" w:cs="Times New Roman"/>
                <w:i/>
                <w:iCs/>
                <w:color w:val="000000"/>
                <w:sz w:val="20"/>
                <w:szCs w:val="20"/>
              </w:rPr>
            </w:pPr>
            <w:r>
              <w:rPr>
                <w:rFonts w:ascii="Times New Roman" w:hAnsi="Times New Roman" w:cs="Times New Roman"/>
                <w:i/>
                <w:iCs/>
                <w:color w:val="000000"/>
                <w:sz w:val="20"/>
                <w:szCs w:val="20"/>
              </w:rPr>
              <w:t>Šis dokuments ir parakstīts ar drošu elektronisko parakstu un satur laika zīmogu.</w:t>
            </w:r>
          </w:p>
          <w:p w14:paraId="4416783A" w14:textId="77777777" w:rsidR="00883127" w:rsidRDefault="00883127" w:rsidP="00883127">
            <w:pPr>
              <w:keepLines/>
              <w:autoSpaceDE w:val="0"/>
              <w:autoSpaceDN w:val="0"/>
              <w:adjustRightInd w:val="0"/>
              <w:spacing w:after="0" w:line="240" w:lineRule="auto"/>
              <w:rPr>
                <w:rFonts w:ascii="Times New Roman" w:hAnsi="Times New Roman" w:cs="Times New Roman"/>
                <w:i/>
                <w:iCs/>
                <w:color w:val="000000"/>
                <w:sz w:val="20"/>
                <w:szCs w:val="20"/>
              </w:rPr>
            </w:pPr>
          </w:p>
          <w:tbl>
            <w:tblPr>
              <w:tblW w:w="5000" w:type="pct"/>
              <w:tblCellMar>
                <w:left w:w="0" w:type="dxa"/>
                <w:right w:w="0" w:type="dxa"/>
              </w:tblCellMar>
              <w:tblLook w:val="00BF" w:firstRow="1" w:lastRow="0" w:firstColumn="1" w:lastColumn="0" w:noHBand="0" w:noVBand="0"/>
            </w:tblPr>
            <w:tblGrid>
              <w:gridCol w:w="4259"/>
              <w:gridCol w:w="285"/>
              <w:gridCol w:w="4541"/>
            </w:tblGrid>
            <w:tr w:rsidR="00883127" w14:paraId="267F314E" w14:textId="77777777" w:rsidTr="00883127">
              <w:tc>
                <w:tcPr>
                  <w:tcW w:w="2344" w:type="pct"/>
                  <w:tcBorders>
                    <w:top w:val="nil"/>
                    <w:left w:val="nil"/>
                    <w:bottom w:val="nil"/>
                    <w:right w:val="nil"/>
                  </w:tcBorders>
                </w:tcPr>
                <w:p w14:paraId="2D0F16C6" w14:textId="77777777" w:rsidR="00883127" w:rsidRDefault="00883127" w:rsidP="00883127">
                  <w:pPr>
                    <w:keepLines/>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Izpilddirektors</w:t>
                  </w:r>
                  <w:r>
                    <w:rPr>
                      <w:rFonts w:ascii="Times New Roman" w:hAnsi="Times New Roman" w:cs="Times New Roman"/>
                      <w:color w:val="000000"/>
                      <w:sz w:val="24"/>
                      <w:szCs w:val="24"/>
                    </w:rPr>
                    <w:br/>
                    <w:t>Klientu direktore</w:t>
                  </w:r>
                </w:p>
              </w:tc>
              <w:tc>
                <w:tcPr>
                  <w:tcW w:w="157" w:type="pct"/>
                  <w:tcBorders>
                    <w:top w:val="nil"/>
                    <w:left w:val="nil"/>
                    <w:bottom w:val="nil"/>
                    <w:right w:val="nil"/>
                  </w:tcBorders>
                </w:tcPr>
                <w:p w14:paraId="36E96B45" w14:textId="77777777" w:rsidR="00883127" w:rsidRDefault="00883127" w:rsidP="00883127">
                  <w:pPr>
                    <w:keepLines/>
                    <w:autoSpaceDE w:val="0"/>
                    <w:autoSpaceDN w:val="0"/>
                    <w:adjustRightInd w:val="0"/>
                    <w:spacing w:after="0" w:line="360" w:lineRule="auto"/>
                    <w:ind w:left="15"/>
                    <w:rPr>
                      <w:rFonts w:ascii="Times New Roman" w:hAnsi="Times New Roman" w:cs="Times New Roman"/>
                      <w:color w:val="000000"/>
                      <w:sz w:val="24"/>
                      <w:szCs w:val="24"/>
                    </w:rPr>
                  </w:pPr>
                </w:p>
              </w:tc>
              <w:tc>
                <w:tcPr>
                  <w:tcW w:w="2499" w:type="pct"/>
                  <w:tcBorders>
                    <w:top w:val="nil"/>
                    <w:left w:val="nil"/>
                    <w:bottom w:val="nil"/>
                    <w:right w:val="nil"/>
                  </w:tcBorders>
                </w:tcPr>
                <w:p w14:paraId="33C4F887" w14:textId="77777777" w:rsidR="00883127" w:rsidRDefault="00883127" w:rsidP="00883127">
                  <w:pPr>
                    <w:keepLines/>
                    <w:autoSpaceDE w:val="0"/>
                    <w:autoSpaceDN w:val="0"/>
                    <w:adjustRightInd w:val="0"/>
                    <w:spacing w:after="0" w:line="360" w:lineRule="auto"/>
                    <w:ind w:left="15" w:right="283"/>
                    <w:jc w:val="right"/>
                    <w:rPr>
                      <w:rFonts w:ascii="Times New Roman" w:hAnsi="Times New Roman" w:cs="Times New Roman"/>
                      <w:color w:val="000000"/>
                      <w:sz w:val="24"/>
                      <w:szCs w:val="24"/>
                    </w:rPr>
                  </w:pPr>
                  <w:r>
                    <w:rPr>
                      <w:rFonts w:ascii="Times New Roman" w:hAnsi="Times New Roman" w:cs="Times New Roman"/>
                      <w:color w:val="000000"/>
                      <w:sz w:val="24"/>
                      <w:szCs w:val="24"/>
                    </w:rPr>
                    <w:t>Sandis Jansons</w:t>
                  </w:r>
                  <w:r>
                    <w:rPr>
                      <w:rFonts w:ascii="Times New Roman" w:hAnsi="Times New Roman" w:cs="Times New Roman"/>
                      <w:color w:val="000000"/>
                      <w:sz w:val="24"/>
                      <w:szCs w:val="24"/>
                    </w:rPr>
                    <w:br/>
                    <w:t>Baiba Priedīte</w:t>
                  </w:r>
                </w:p>
              </w:tc>
            </w:tr>
          </w:tbl>
          <w:p w14:paraId="78934424" w14:textId="77777777" w:rsidR="00883127" w:rsidRDefault="00883127" w:rsidP="00883127">
            <w:pPr>
              <w:keepLines/>
              <w:autoSpaceDE w:val="0"/>
              <w:autoSpaceDN w:val="0"/>
              <w:adjustRightInd w:val="0"/>
              <w:spacing w:after="0" w:line="240" w:lineRule="auto"/>
              <w:rPr>
                <w:rFonts w:ascii="Times New Roman" w:hAnsi="Times New Roman" w:cs="Times New Roman"/>
                <w:color w:val="000000"/>
                <w:sz w:val="24"/>
                <w:szCs w:val="24"/>
              </w:rPr>
            </w:pPr>
          </w:p>
          <w:p w14:paraId="44AA0BDE" w14:textId="77777777" w:rsidR="00883127" w:rsidRDefault="00883127" w:rsidP="00883127">
            <w:pPr>
              <w:keepLines/>
              <w:autoSpaceDE w:val="0"/>
              <w:autoSpaceDN w:val="0"/>
              <w:adjustRightInd w:val="0"/>
              <w:spacing w:after="0" w:line="240" w:lineRule="auto"/>
              <w:rPr>
                <w:rFonts w:ascii="Times New Roman" w:hAnsi="Times New Roman" w:cs="Times New Roman"/>
                <w:color w:val="000000"/>
                <w:sz w:val="24"/>
                <w:szCs w:val="24"/>
              </w:rPr>
            </w:pPr>
          </w:p>
          <w:tbl>
            <w:tblPr>
              <w:tblW w:w="5000" w:type="pct"/>
              <w:tblCellMar>
                <w:left w:w="0" w:type="dxa"/>
                <w:right w:w="0" w:type="dxa"/>
              </w:tblCellMar>
              <w:tblLook w:val="00BF" w:firstRow="1" w:lastRow="0" w:firstColumn="1" w:lastColumn="0" w:noHBand="0" w:noVBand="0"/>
            </w:tblPr>
            <w:tblGrid>
              <w:gridCol w:w="9085"/>
            </w:tblGrid>
            <w:tr w:rsidR="00883127" w14:paraId="7D8883F9" w14:textId="77777777" w:rsidTr="00883127">
              <w:tc>
                <w:tcPr>
                  <w:tcW w:w="5000" w:type="pct"/>
                  <w:tcBorders>
                    <w:top w:val="nil"/>
                    <w:left w:val="nil"/>
                    <w:bottom w:val="nil"/>
                    <w:right w:val="nil"/>
                  </w:tcBorders>
                </w:tcPr>
                <w:p w14:paraId="4A9627FA" w14:textId="77777777" w:rsidR="00883127" w:rsidRDefault="00883127" w:rsidP="00883127">
                  <w:pPr>
                    <w:keepLines/>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Edgars Matulis 26252950</w:t>
                  </w:r>
                </w:p>
              </w:tc>
            </w:tr>
          </w:tbl>
          <w:p w14:paraId="793BE5B5" w14:textId="77777777" w:rsidR="00883127" w:rsidRDefault="00883127" w:rsidP="00883127">
            <w:pPr>
              <w:keepLines/>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 xml:space="preserve"> </w:t>
            </w:r>
          </w:p>
        </w:tc>
      </w:tr>
    </w:tbl>
    <w:p w14:paraId="30D8545B" w14:textId="77777777" w:rsidR="00883127" w:rsidRDefault="00883127" w:rsidP="00883127">
      <w:pPr>
        <w:autoSpaceDE w:val="0"/>
        <w:autoSpaceDN w:val="0"/>
        <w:adjustRightInd w:val="0"/>
        <w:spacing w:after="0" w:line="240" w:lineRule="auto"/>
        <w:ind w:left="261"/>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p>
    <w:p w14:paraId="5882DA12" w14:textId="77777777" w:rsidR="005766AC" w:rsidRPr="00E77323" w:rsidRDefault="005766AC" w:rsidP="00883127">
      <w:pPr>
        <w:rPr>
          <w:rFonts w:ascii="Times New Roman" w:hAnsi="Times New Roman" w:cs="Times New Roman"/>
          <w:sz w:val="24"/>
          <w:szCs w:val="24"/>
        </w:rPr>
      </w:pPr>
    </w:p>
    <w:sectPr w:rsidR="005766AC" w:rsidRPr="00E77323" w:rsidSect="007F566F">
      <w:headerReference w:type="even" r:id="rId7"/>
      <w:headerReference w:type="default" r:id="rId8"/>
      <w:footerReference w:type="even" r:id="rId9"/>
      <w:footerReference w:type="default" r:id="rId10"/>
      <w:headerReference w:type="first" r:id="rId11"/>
      <w:footerReference w:type="first" r:id="rId12"/>
      <w:pgSz w:w="11906" w:h="16838" w:code="9"/>
      <w:pgMar w:top="1134" w:right="1134" w:bottom="1134" w:left="1701"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46A786" w14:textId="77777777" w:rsidR="00883127" w:rsidRDefault="00883127" w:rsidP="00117405">
      <w:pPr>
        <w:spacing w:after="0" w:line="240" w:lineRule="auto"/>
      </w:pPr>
      <w:r>
        <w:separator/>
      </w:r>
    </w:p>
  </w:endnote>
  <w:endnote w:type="continuationSeparator" w:id="0">
    <w:p w14:paraId="48FC9C60" w14:textId="77777777" w:rsidR="00883127" w:rsidRDefault="00883127" w:rsidP="00117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ms Rmn">
    <w:altName w:val="Times New Roman"/>
    <w:panose1 w:val="02020603040505020304"/>
    <w:charset w:val="00"/>
    <w:family w:val="roman"/>
    <w:pitch w:val="variable"/>
    <w:sig w:usb0="00000003" w:usb1="00000000" w:usb2="00000000" w:usb3="00000000" w:csb0="00000001" w:csb1="00000000"/>
  </w:font>
  <w:font w:name="Helv">
    <w:altName w:val="Arial"/>
    <w:panose1 w:val="020B0604020202030204"/>
    <w:charset w:val="00"/>
    <w:family w:val="swiss"/>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AA52C" w14:textId="77777777" w:rsidR="00883127" w:rsidRDefault="008831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BB87A" w14:textId="77777777" w:rsidR="00883127" w:rsidRDefault="008831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B3DB4" w14:textId="77777777" w:rsidR="00883127" w:rsidRDefault="008831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4C473" w14:textId="77777777" w:rsidR="00883127" w:rsidRDefault="00883127" w:rsidP="00117405">
      <w:pPr>
        <w:spacing w:after="0" w:line="240" w:lineRule="auto"/>
      </w:pPr>
      <w:r>
        <w:separator/>
      </w:r>
    </w:p>
  </w:footnote>
  <w:footnote w:type="continuationSeparator" w:id="0">
    <w:p w14:paraId="3832252E" w14:textId="77777777" w:rsidR="00883127" w:rsidRDefault="00883127" w:rsidP="001174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16DE2" w14:textId="77777777" w:rsidR="00883127" w:rsidRDefault="008831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07440" w14:textId="77777777" w:rsidR="00883127" w:rsidRDefault="008831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071"/>
    </w:tblGrid>
    <w:tr w:rsidR="007F566F" w:rsidRPr="007F566F" w14:paraId="588AC398" w14:textId="77777777" w:rsidTr="007F566F">
      <w:trPr>
        <w:cantSplit/>
        <w:trHeight w:val="3515"/>
        <w:jc w:val="center"/>
      </w:trPr>
      <w:tc>
        <w:tcPr>
          <w:tcW w:w="9061" w:type="dxa"/>
        </w:tcPr>
        <w:p w14:paraId="321B3346" w14:textId="77777777" w:rsidR="007F566F" w:rsidRPr="007F566F" w:rsidRDefault="007F566F">
          <w:pPr>
            <w:pStyle w:val="Header"/>
            <w:rPr>
              <w:rFonts w:ascii="Times New Roman" w:hAnsi="Times New Roman" w:cs="Times New Roman"/>
              <w:b/>
              <w:sz w:val="24"/>
              <w:szCs w:val="24"/>
            </w:rPr>
          </w:pPr>
        </w:p>
      </w:tc>
    </w:tr>
  </w:tbl>
  <w:p w14:paraId="5E7E7CC7" w14:textId="192AFB09" w:rsidR="00526744" w:rsidRDefault="00526744">
    <w:pPr>
      <w:pStyle w:val="Header"/>
    </w:pPr>
    <w:r>
      <w:rPr>
        <w:rFonts w:ascii="Times New Roman" w:hAnsi="Times New Roman" w:cs="Times New Roman"/>
        <w:noProof/>
        <w:sz w:val="24"/>
        <w:szCs w:val="24"/>
        <w:lang w:eastAsia="lv-LV"/>
      </w:rPr>
      <w:drawing>
        <wp:anchor distT="0" distB="0" distL="114300" distR="114300" simplePos="0" relativeHeight="251661312" behindDoc="1" locked="0" layoutInCell="1" allowOverlap="1" wp14:anchorId="749608AA" wp14:editId="3AD75C31">
          <wp:simplePos x="0" y="0"/>
          <wp:positionH relativeFrom="column">
            <wp:posOffset>-989965</wp:posOffset>
          </wp:positionH>
          <wp:positionV relativeFrom="page">
            <wp:posOffset>-25400</wp:posOffset>
          </wp:positionV>
          <wp:extent cx="7570800" cy="2098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 veidlapa 2013_augsa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0800" cy="2098800"/>
                  </a:xfrm>
                  <a:prstGeom prst="rect">
                    <a:avLst/>
                  </a:prstGeom>
                </pic:spPr>
              </pic:pic>
            </a:graphicData>
          </a:graphic>
          <wp14:sizeRelH relativeFrom="page">
            <wp14:pctWidth>0</wp14:pctWidth>
          </wp14:sizeRelH>
          <wp14:sizeRelV relativeFrom="page">
            <wp14:pctHeight>0</wp14:pctHeight>
          </wp14:sizeRelV>
        </wp:anchor>
      </w:drawing>
    </w:r>
  </w:p>
  <w:p w14:paraId="20ED372D" w14:textId="77777777" w:rsidR="00883127" w:rsidRPr="00883127" w:rsidRDefault="00883127">
    <w:pPr>
      <w:pStyle w:val="Header"/>
      <w:rPr>
        <w:sz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127"/>
    <w:rsid w:val="00046C5E"/>
    <w:rsid w:val="00117405"/>
    <w:rsid w:val="001D1AD2"/>
    <w:rsid w:val="002302EC"/>
    <w:rsid w:val="003E571F"/>
    <w:rsid w:val="003F7941"/>
    <w:rsid w:val="00454313"/>
    <w:rsid w:val="00476996"/>
    <w:rsid w:val="00526744"/>
    <w:rsid w:val="00561709"/>
    <w:rsid w:val="005766AC"/>
    <w:rsid w:val="006232BF"/>
    <w:rsid w:val="00627FAE"/>
    <w:rsid w:val="006512F4"/>
    <w:rsid w:val="006D2C65"/>
    <w:rsid w:val="00707C55"/>
    <w:rsid w:val="00717B9A"/>
    <w:rsid w:val="007F566F"/>
    <w:rsid w:val="0083724C"/>
    <w:rsid w:val="00883127"/>
    <w:rsid w:val="008B458C"/>
    <w:rsid w:val="00974D29"/>
    <w:rsid w:val="009B414B"/>
    <w:rsid w:val="009C5EBC"/>
    <w:rsid w:val="00A32671"/>
    <w:rsid w:val="00B95B3B"/>
    <w:rsid w:val="00BF2CBA"/>
    <w:rsid w:val="00D12EA2"/>
    <w:rsid w:val="00D9691A"/>
    <w:rsid w:val="00DA5174"/>
    <w:rsid w:val="00E41C97"/>
    <w:rsid w:val="00E77323"/>
    <w:rsid w:val="00EF2E06"/>
    <w:rsid w:val="00FF488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4FB2F"/>
  <w15:docId w15:val="{A3FA8EB2-6149-47E7-A99B-3FDBC4576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32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32BF"/>
    <w:rPr>
      <w:rFonts w:ascii="Tahoma" w:hAnsi="Tahoma" w:cs="Tahoma"/>
      <w:sz w:val="16"/>
      <w:szCs w:val="16"/>
    </w:rPr>
  </w:style>
  <w:style w:type="paragraph" w:styleId="Header">
    <w:name w:val="header"/>
    <w:basedOn w:val="Normal"/>
    <w:link w:val="HeaderChar"/>
    <w:uiPriority w:val="99"/>
    <w:unhideWhenUsed/>
    <w:rsid w:val="00117405"/>
    <w:pPr>
      <w:tabs>
        <w:tab w:val="center" w:pos="4320"/>
        <w:tab w:val="right" w:pos="8640"/>
      </w:tabs>
      <w:spacing w:after="0" w:line="240" w:lineRule="auto"/>
    </w:pPr>
  </w:style>
  <w:style w:type="character" w:customStyle="1" w:styleId="HeaderChar">
    <w:name w:val="Header Char"/>
    <w:basedOn w:val="DefaultParagraphFont"/>
    <w:link w:val="Header"/>
    <w:uiPriority w:val="99"/>
    <w:rsid w:val="00117405"/>
  </w:style>
  <w:style w:type="paragraph" w:styleId="Footer">
    <w:name w:val="footer"/>
    <w:basedOn w:val="Normal"/>
    <w:link w:val="FooterChar"/>
    <w:uiPriority w:val="99"/>
    <w:unhideWhenUsed/>
    <w:rsid w:val="00117405"/>
    <w:pPr>
      <w:tabs>
        <w:tab w:val="center" w:pos="4320"/>
        <w:tab w:val="right" w:pos="8640"/>
      </w:tabs>
      <w:spacing w:after="0" w:line="240" w:lineRule="auto"/>
    </w:pPr>
  </w:style>
  <w:style w:type="character" w:customStyle="1" w:styleId="FooterChar">
    <w:name w:val="Footer Char"/>
    <w:basedOn w:val="DefaultParagraphFont"/>
    <w:link w:val="Footer"/>
    <w:uiPriority w:val="99"/>
    <w:rsid w:val="00117405"/>
  </w:style>
  <w:style w:type="table" w:styleId="TableGrid">
    <w:name w:val="Table Grid"/>
    <w:basedOn w:val="TableNormal"/>
    <w:uiPriority w:val="59"/>
    <w:rsid w:val="007F56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ur-lex.europa.eu/legal-content/LV/TXT/HTML/?uri=CELEX:32015R1222&amp;from=EN"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C:/Users/ibrodele/AppData/Local/Temp/ST_veidlapa_WORD_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ST_veidlapa_WORD_2021</Template>
  <TotalTime>0</TotalTime>
  <Pages>1</Pages>
  <Words>11496</Words>
  <Characters>6553</Characters>
  <Application>Microsoft Office Word</Application>
  <DocSecurity>0</DocSecurity>
  <Lines>54</Lines>
  <Paragraphs>36</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18013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Inita Brodele</dc:creator>
  <cp:lastModifiedBy>Inita Brodele</cp:lastModifiedBy>
  <cp:revision>1</cp:revision>
  <dcterms:created xsi:type="dcterms:W3CDTF">2022-11-23T12:54:00Z</dcterms:created>
  <dcterms:modified xsi:type="dcterms:W3CDTF">2022-11-23T12:54:00Z</dcterms:modified>
</cp:coreProperties>
</file>