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11. jūnija noteikumos Nr. 358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informāciju par finansējuma sadalījumu starp intervenču kodiem, ņemot vērā, ka tiek palielināts pasākuma kopējais finansējums.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informāciju par ierosināto grozījumu ietekmi uz finansējuma saņēmējiem, kā arī sadarbības partneriem, ņemot vērā noteikumu projekta 9.punktā izteiktajā noteikumu 41.</w:t>
            </w:r>
            <w:r w:rsidR="00000000" w:rsidRPr="00000000" w:rsidDel="00000000">
              <w:rPr>
                <w:vertAlign w:val="superscript"/>
                <w:rtl w:val="0"/>
              </w:rPr>
              <w:t xml:space="preserve">1</w:t>
            </w:r>
            <w:r w:rsidR="00000000" w:rsidRPr="00000000" w:rsidDel="00000000">
              <w:rPr>
                <w:rtl w:val="0"/>
              </w:rPr>
              <w:t xml:space="preserve">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nepieciešamības gadījumā precizēt anotācijas 1.3.sadaļas "Pašreizējā situācija, problēmas un risinājumi" 3.lpp norādīto informāciju par finansējuma apjomu mācību līdzekļu nodrošināšanai izglītojamiem (35 </w:t>
            </w:r>
            <w:r w:rsidR="00000000" w:rsidRPr="00000000" w:rsidDel="00000000">
              <w:rPr>
                <w:i w:val="1"/>
                <w:rtl w:val="0"/>
              </w:rPr>
              <w:t xml:space="preserve">euro </w:t>
            </w:r>
            <w:r w:rsidR="00000000" w:rsidRPr="00000000" w:rsidDel="00000000">
              <w:rPr>
                <w:rtl w:val="0"/>
              </w:rPr>
              <w:t xml:space="preserve">gadā uz vienu izglītojamo), salāgojot to ar likuma "Par valsts budžetu 2025. gadam un budžeta ietvaru 2025., 2026. un 2027. gadam" Izglītības un zinātnes ministrijas budžeta paskaidrojumā norādīto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1.3.sadaļas "Pašreizējā situācija, problēmas un risinājumi" 5.lpp norādīto pārdalāmo finansējumu no citām Eiropas Sociālā fonda plus programmām nepiesaistītā finansējuma sadalījumā pa finansējuma avotiem. Attiecīgi lūdzam papildināt arī anotācijas 3.sadaļā "Tiesību akta projekta ietekme uz valsts budžetu un pašvaldību budžetiem"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Nacionālie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2025. gada 21. februārī Ministru prezidentes Evikas Siliņas paziņotās valdības 4x4 prioritātes 2025. gadam, ikgadējā ziņojumā Saeimai iekļauto apņemšanos 2025. gadā turpināt darbu pie birokrātijas mazināšanas pasākumiem ES fondu apguvē un publisko iepirkumu jomā, un 2024. gada 20. janvārī apstiprinātā Valsts rīcības plāna pasākuma 35.4. darbības rezultātu: pārskatītas un iespēju robežās mazinātas nacionālajos horizontālajos un specifisko atbalsta mērķu ieviešanu regulējošajos normatīvajos aktos noteiktās prasības, aicinām izvērtēt iespēju samazināt nacionālo radītāju skaitu, piemēram, apvienojot divos radītajos  5.1.; 5.2.; 5.3. rādītājus, un 5.4; 5.5.; 5.6.; 5.7.; 5.8.; 5.9. radītājus. Aicinām atbilstoši izvērtēt arī citas noteikumos iekļautās prasības un pēc iespējas mazināt finansējuma saņēmējam administratīvo slogu un atteikties no prasībām, kas nav noteiktas kā obligātas saskaņā ar ES un Latvijas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25-TA-542</w:t>
    </w:r>
    <w:r>
      <w:br/>
    </w:r>
    <w:r w:rsidR="00000000" w:rsidRPr="00000000" w:rsidDel="00000000">
      <w:rPr>
        <w:rtl w:val="0"/>
      </w:rPr>
      <w:t xml:space="preserve">Izdrukāts 31.03.2025.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25-TA-542</w:t>
    </w:r>
    <w:r>
      <w:br/>
    </w:r>
    <w:r w:rsidR="00000000" w:rsidRPr="00000000" w:rsidDel="00000000">
      <w:rPr>
        <w:rtl w:val="0"/>
      </w:rPr>
      <w:t xml:space="preserve">Izdrukāts 31.03.2025.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Atzinumi_25-TA-542.docx</dc:title>
</cp:coreProperties>
</file>

<file path=docProps/custom.xml><?xml version="1.0" encoding="utf-8"?>
<Properties xmlns="http://schemas.openxmlformats.org/officeDocument/2006/custom-properties" xmlns:vt="http://schemas.openxmlformats.org/officeDocument/2006/docPropsVTypes"/>
</file>