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25-TA-2052: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12. aprīļa noteikumos Nr. 224 "Prasības un kārtība tehnisko līdzekļu uzstādīšanai uz ceļiem un prasības informācijas nosūtīšanai un saņemšanai no tehniskajiem līdzekļiem apstrādei transportlīdzekļu un to vadītāju valsts reģistrā"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 ar ierobežotu atbildību "Latvijas nacionālais metroloģijas centrs"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24.09.2025.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Tehniskajam līdzeklim - vidējā braukšanas ātruma kontroles sistēmai piemērojamas šādas prasības: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1. kontroles vietas viduslīnija ir apzīmēta ar vizuāliem marķieriem uz ceļa brauktuves vai ceļa brauktuves malā;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2. brīdī,  kad mērķa transportlīdzeklis šķērso kontroles vietu, notiek mērķa transportlīdzekļa fotoattēla vai fotoattēlu secīga kopuma ģenerēšana un šķērsošanas brīža laika reģistrācija, kas ir aizsargāta ar laika zīmogu, kā arī reģistrācijas numurzīmes atpazīšana;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3. jānodrošina iekārtas laika sinhronizāciju ar vismaz 2 (diviem) neatkarīgiem precīza laika avotiem;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4. lielākā  absolūtā  novirze  no  attāluma  starp  reģistrēšanas iekārtām  kontroles  vietās,  ko  kontroles  laikā  ņem  vērā vidējā braukšanas ātruma kontroles sistēma, nedrīkst pārsniegt 0,5 % no noteiktā ceļa posma garuma;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5. mērķa transportlīdzekļa vidējā braukšanas ātruma  noteikšanu diapazonā no vismaz 20 km/h  līdz ne mazāk kā 200 km/h;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ekspluatācijas temperatūras diapazons no vismaz -25 °C līdz ne mazāk kā +50 °C;</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6. ir  iespējams veikt kalibrēšanu;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7. maksimāli pieļaujamā kļūda (precizitāte) faktiskajos ekspluatācijas apstākļos, nepārsniedz šādas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7.1.  ±3 km/h,  ja mērķa transportlīdzekļa vidējais  braukšanas  ātrums  nepārsniedz 100 km/h;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7.2. .±3 % no mērķa transportlīdzekļa vidējā braukšanas ātruma, ja mērķa transportlīdzekļa vidējais braukšanas ātrums pārsniedz 100 km/h.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 8. Noteikto vidējo braukšanas ātrumu uzrāda kilometros stundā ar iedaļas vērtību viens kilometrs stundā. Noteiktā vērtība tiek noapaļota uz leju līdz tuvākajam veselajam skaitlim. Kilometrus stundā norāda blakus skaitliskajai vērtībai.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5.</w:t>
            </w:r>
            <w:r w:rsidR="00000000" w:rsidRPr="00000000" w:rsidDel="00000000">
              <w:rPr>
                <w:vertAlign w:val="superscript"/>
                <w:rtl w:val="0"/>
              </w:rPr>
              <w:t xml:space="preserve">1</w:t>
            </w:r>
            <w:r w:rsidR="00000000" w:rsidRPr="00000000" w:rsidDel="00000000">
              <w:rPr>
                <w:rtl w:val="0"/>
              </w:rPr>
              <w:t xml:space="preserve">6. punktā noteikts, ka vidējā braukšanas ātruma sistēmai ir iespējams veikt kalibrēšanu. Nepieciešams noteikt noteikumos nevis iespēju kalibrēt, bet nepieciešamību to darīt. Mūsuprāt, atbilstošākais veids būtu  veikt grozījumus arī MK noteikumos Nr. 963 "Noteikumi par mērīšanas līdzekļu kalibrēšanu", papildinot šo noteikumu pielikumā esošo kalibrējamo mērīšanas līdzekļu sarakstu ar vidējā braukšanas ātruma kontroles sistēmām ar kalibrēšanas termiņu 2 gadi un MPK +/-3km/h.</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Nenosakot vidējā ātruma kontroles sistēmu kalibrēšanas pienākumu un kārtību, mūsuprāt, pastāv ļoti augsti riski piemērojamo Administratīvo sodu par atļautā braukšanas ātruma pārsniegšanu pārsūdzību skaita palielinājumam un soda atcelšanai.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r w:rsidR="00000000" w:rsidRPr="00000000" w:rsidDel="00000000">
              <w:rPr>
                <w:vertAlign w:val="superscript"/>
                <w:rtl w:val="0"/>
              </w:rPr>
              <w:t xml:space="preserve">1</w:t>
            </w:r>
            <w:r w:rsidR="00000000" w:rsidRPr="00000000" w:rsidDel="00000000">
              <w:rPr>
                <w:rtl w:val="0"/>
              </w:rPr>
              <w:t xml:space="preserve">6. sistēma ir kalibrēta akreditētā laboratorijā atbilstoši standarta LVS EN ISO/IEC 17025:2018 un citām normatīvajos aktos noteiktajām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Kaspars Paupe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25-TA-2052</w:t>
    </w:r>
    <w:r>
      <w:br/>
    </w:r>
    <w:r w:rsidR="00000000" w:rsidRPr="00000000" w:rsidDel="00000000">
      <w:rPr>
        <w:rtl w:val="0"/>
      </w:rPr>
      <w:t xml:space="preserve">Izdrukāts 24.09.2025. 15.22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25-TA-2052</w:t>
    </w:r>
    <w:r>
      <w:br/>
    </w:r>
    <w:r w:rsidR="00000000" w:rsidRPr="00000000" w:rsidDel="00000000">
      <w:rPr>
        <w:rtl w:val="0"/>
      </w:rPr>
      <w:t xml:space="preserve">Izdrukāts 24.09.2025. 15.22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Atzinumi_25-TA-2052.docx</dc:title>
</cp:coreProperties>
</file>

<file path=docProps/custom.xml><?xml version="1.0" encoding="utf-8"?>
<Properties xmlns="http://schemas.openxmlformats.org/officeDocument/2006/custom-properties" xmlns:vt="http://schemas.openxmlformats.org/officeDocument/2006/docPropsVTypes"/>
</file>