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nozīmes lidojumu Latvijas Republikas gaisa telpā saskaņošanas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valsts valsts lidaparāta operators diplomātiskā ceļā nosūta lidojumu atļaujas pieprasījumu ne vēlāk kā piecas darba dienas pirms plānotā lidaparāta ielidošanas Latvijas Republikas gaisa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3. punktu, norādot Ārlietu ministriju, kā atbildīgo iestādi, kurai trešās valsts valsts lidaparāta operators diplomātiskā ceļā nosūta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Prince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Lidojumu atļaujas pieprasījumu noformē atbilstoši Eiropas Savienības diplomātiskās atļaujas (DIC) veidlapas struktūrai (</w:t>
            </w:r>
            <w:r w:rsidR="00000000" w:rsidRPr="00000000" w:rsidDel="00000000">
              <w:rPr>
                <w:rtl w:val="0"/>
              </w:rPr>
              <w:t xml:space="preserve">https://www.mfa.gov.lv/en/the-state-protocol?utm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4.punktu un svītrot saiti uz Ārlietu ministrijas interneta vietnes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Prince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tekstā attiecībā uz 1944. gada 7. decembra Konvenciju par starptautisko civilo aviāciju lietot vienīgi vārdkopu saīsinājumu "Konvencija", nodrošinot vienotu valodas lietojumu visā noteikumu projekta dokumentu kopā un konsekvenci lietotajos saīsinājumos.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Prince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17.01.2026. 08.10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17.01.2026. 08.10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Atzinumi_25-TA-1254.docx</dc:title>
</cp:coreProperties>
</file>

<file path=docProps/custom.xml><?xml version="1.0" encoding="utf-8"?>
<Properties xmlns="http://schemas.openxmlformats.org/officeDocument/2006/custom-properties" xmlns:vt="http://schemas.openxmlformats.org/officeDocument/2006/docPropsVTypes"/>
</file>