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ņemot vērā, ka tiesību aktos lietojams Eiropas Savienības vienotās valūtas vienības nosaukums "euro"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5. lpp. vārdus "Valsts ugunsdzēsības dienesta (turpmāk – VUGD)" ar vārdiem "Valsts ugunsdzēsības un glābšanas dienesta (turpmāk – VUGD)".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1., 2., 10. un 11. lpp. lietoto saīsinājumu "AM".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ievadā ietverto informāciju "Kopumā tiek piedāvāti trīs ar alternatīvo dienestu saistīti ieviešanas veidi – (1) tikai AiM civilajās padotības iestādēs, (2) tikai citās valsts tiešās pārvaldes iestādēs (IeM, LM, VM), (3) pakāpeniska VACD ieviešana, to īstermiņā uzsākot AM civilajās struktūrās, bet ilgtermiņā, pēc alternatīvā dienesta izvērtēšanas veikšanas, arī citās valsts tiešās pārvaldes iestādēs", ņemot vērā, ka informatīvā ziņojuma 5. nodaļā kā pirmais veids ir norādīts "VACD citu ministriju pakļautībā", bet kā otrais - "VACD AiM civilajās padotības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šī informatīvā ziņojuma 5. nodaļā piedāvāto 2.rīcības virzienu, īstenojot VACD AiM padotības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protokollēmumā nebūtu lietojami saīsinājumi, kas iepriekš tajā nav atrunāti.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16.02.2023.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16.02.2023.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