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23-TA-358: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nepieciešamības gadījumā precizējot likumprojektu vai izstrādājot paredzētus grozījumus Enerģētikas likumā, vai ir izvērtēta aizsargjoslas izvietojuma un platības izmaiņu ietekme uz zemes īpašnieka turpmākajām tiesībām izmantot tam piederošo zemi atbilstoši  teritorijas plānojumam un Teritorijas izmantošanas un apbūves noteikumos noteiktajām teritorijas izmantošanas un apbūves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zemesgabals ir liels, aizsargjoslas izvietojuma un platības 20% vai 2 metru nobīdei no esošās energoapgādes komersanta objekta aizsargjoslas varētu būt maza ietekme uz zemes turpmāko izmantošanu. Tomēr, ja aizsargjoslas izvietojuma un platības izmaiņas skar apbūves zemesgabalu, kura platība jau tā atbilst attiecīgās pašvaldības Teritorijas izmantošanas un apbūves noteikumos noteiktajai zemes vienības minimālajai platībai apbūvei, vai paredzēto aizsargjoslas izvietojuma un platības izmaiņu dēļ zemes īpašniekam vairs nav iespējams apbūves zemesgabalā racionāli izvietot būves vai to daļas atbilstoši Teritorijas izmantošanas un apbūves noteikumos noteiktajām būvju un to daļu izvietošanas prasībām, vai šādos gadījumos nebūtu izvērtējama Sabiedrības vajadzībām nepieciešamā nekustamā īpašuma atsavināšanas likumā ietvertā regulējuma piemērošana.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1.3.apakšsadaļā norādīt informāciju par Ministru kabineta noteikumiem, ar kuriem ir pieņemts Latvijas būvnormatīvs LBN 008-14 "Inženiertīklu izvietojums" (Ministru kabineta 2014.gada 30.septembra noteikumi Nr.574 "Noteikumi par Latvijas būvnormatīvu LBN 008-14 "Inženiertīklu izvietojums"").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11.05.2023. 13.15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11.05.2023. 13.15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Atzinumi_23-TA-358.docx</dc:title>
</cp:coreProperties>
</file>

<file path=docProps/custom.xml><?xml version="1.0" encoding="utf-8"?>
<Properties xmlns="http://schemas.openxmlformats.org/officeDocument/2006/custom-properties" xmlns:vt="http://schemas.openxmlformats.org/officeDocument/2006/docPropsVTypes"/>
</file>