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24-TA-495: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Augšdaugavas novada pašvaldības nekustamā īpašuma "Vanagu ceļš" 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 dokumenti)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anotācijas sadaļu Risinājuma apraksts izteikt šādā redakcijā: “Ja iestāsies rīkojuma projekta 2.punktā minētais apstāklis un nekustamais īpašums vairs netiks izmantots norādītās valsts funkcijas izpildei, </w:t>
            </w:r>
            <w:r w:rsidR="00000000" w:rsidRPr="00000000" w:rsidDel="00000000">
              <w:rPr>
                <w:u w:val="single"/>
                <w:rtl w:val="0"/>
              </w:rPr>
              <w:t xml:space="preserve">tas tiks nodots pašvaldībai visā tā sastāvā saskaņā ar akcesijas principu</w:t>
            </w:r>
            <w:r w:rsidR="00000000" w:rsidRPr="00000000" w:rsidDel="00000000">
              <w:rPr>
                <w:rtl w:val="0"/>
              </w:rPr>
              <w:t xml:space="preserve"> un Publiskas personas mantas atsavināšanas likuma 42.pantā ietvertām prasībām”.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Minētais precizējums nepieciešams, jo anotācija satur norādi, ka uz zemes vienībām var izbūvēt inženierbūvi – ceļu.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Piezīme – iebildums ir sniegts par anotācijas otro redakciju.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Māris Gerlovess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24-TA-495</w:t>
    </w:r>
    <w:r>
      <w:br/>
    </w:r>
    <w:r w:rsidR="00000000" w:rsidRPr="00000000" w:rsidDel="00000000">
      <w:rPr>
        <w:rtl w:val="0"/>
      </w:rPr>
      <w:t xml:space="preserve">Izdrukāts 26.03.2024. 14.04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24-TA-495</w:t>
    </w:r>
    <w:r>
      <w:br/>
    </w:r>
    <w:r w:rsidR="00000000" w:rsidRPr="00000000" w:rsidDel="00000000">
      <w:rPr>
        <w:rtl w:val="0"/>
      </w:rPr>
      <w:t xml:space="preserve">Izdrukāts 26.03.2024. 14.04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