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 panta otrās daļas otro teikumu aiz vārdiem "normatīvajiem aktiem" ar vārdiem "vai kas neatbilst pašvaldības teritorijas apbūves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 nepiekrīt EM izziņā sniegtajam veidoklim uz LAS analizēto problemātiku. Lai risinātu LAS norādītos, ar būvniecības drošību un atbildību saistītos jautājumus ārpus likumprojekta šā brīža grozījumu tvēruma, nepieciešama starpinstitūciju sanāksme. Lai risinātu LAS norādītos, ar būvniecības drošību un atbildību saistītos jautājumus ārpus likumprojekta šā brīža grozījumu tvēruma, nepieciešama starpinstitūciju sanāksme.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32. punkta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Personas, kuras līdz šā likuma grozījumiem par būvspeciālistu pastāvīgo praksi ģeotehniskajā izpētē spēkā stāšanās dienai ieguvušas patstāvīgās prakses tiesības inženierizpētes specialitātē, bet nav ieguvušas šā likuma 13. panta 5.</w:t>
            </w:r>
            <w:r w:rsidR="00000000" w:rsidRPr="00000000" w:rsidDel="00000000">
              <w:rPr>
                <w:vertAlign w:val="superscript"/>
                <w:rtl w:val="0"/>
              </w:rPr>
              <w:t xml:space="preserve">1</w:t>
            </w:r>
            <w:r w:rsidR="00000000" w:rsidRPr="00000000" w:rsidDel="00000000">
              <w:rPr>
                <w:rtl w:val="0"/>
              </w:rPr>
              <w:t xml:space="preserve"> daļā noteikto izglītību ģeotehniskās izpētes specialitātei, ir tiesīgas turpināt patstāvīgu praksi ģeotehniskās izpētes specialitātē bez laika ierobežojuma.”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izziņā norādītais, uz Latvijas Arhitektu savienības iepriekš sniegto problemātiku, ka arī paskaidrojuma raksta grafiskā daļa ir būvprojekts - nav pašsaprotami, nepieciešams iekļaut definīcijā vai vismaz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