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Iekārtu aprite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Visas iekārtas faktiskais valdītājs (fiziska vai juridiska persona) reģistrē tabakas izstrādājumu un augu smēķēšanas produktu ražošanas iekārtu reģistrā (turpmāk – iekārtu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Iekārtas faktiskais valdītājs iekārtu reģistrā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pirmreizējo reģistrāciju,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 uz iekārtu reģistra izveides brīdi atrodas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 saņemta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iekārta izgatavota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izmaiņu reģistrāciju, ja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iekārtas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iekārtas atrašanās vietas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personas, kas reģistrējusi iekārtu,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izslēgšanu no iekārtu reģistra, ja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izved no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iznīcina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cits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Pārvadātājs (fiziska vai juridiska persona) paziņo iekārtu reģistrā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aizliegts saņemt, uzglabāt, izmantot un pārvietot iekārtas, kuras nav reģistrētas iekārtu reģistrā vai par kurām nav paziņots iekārtu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iekārtu reģistram un iestādes, kurām piešķiramas piekļuves tiesības iekārtu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iekārtu pirmreizējai reģistrācijai, izmaiņu reģistrācijai un izslēgšanai no iekārtu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pārvadātājs iekārtu reģistrā paziņo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nosacījumi par reģistrāciju iekārtu reģistrā neattiecas uz tām iekārtām, kas nav reģistrētas iekārtu reģistrā un kuras ir lietiskais pierādījums vai arestētā manta kriminālprocesā, izņemtā manta administratīvo pārkāpumu lietā vai valstij piekritīgā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iekārtu reģistrā reģistrēta iekārta ir nonākusi publiskas personas rīcībā, gadījumos, kad tā kļūst par lietisko pierādījumu vai arestēto mantu kriminālprocesā, izņemto mantu administratīvā pārkāpuma lietā vai valstij piekritīgo mantu, kā arī gadījumos, kad iekārta tiek atgriezta reģistrā reģistrētam valdītājam vai iznīcināta, publiska persona informē iekārtu reģistra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Konfiscētās iekārtas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12.12.2025. atzinumā ietvertais iebildums, neskatoties uz izziņā norādīto, tomēr nav ņemts vērā.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pārskatīt likumprojekta 3. pantā paredzēto grozāmā likuma 8.</w:t>
            </w:r>
            <w:r w:rsidR="00000000" w:rsidRPr="00000000" w:rsidDel="00000000">
              <w:rPr>
                <w:vertAlign w:val="superscript"/>
                <w:rtl w:val="0"/>
              </w:rPr>
              <w:t xml:space="preserve">1</w:t>
            </w:r>
            <w:r w:rsidR="00000000" w:rsidRPr="00000000" w:rsidDel="00000000">
              <w:rPr>
                <w:rtl w:val="0"/>
              </w:rPr>
              <w:t xml:space="preserve"> panta septīto daļu un apsvērt iespēju nenorādīt, ka "iekārtu reģistrā reģistrēta iekārta kļūst par  lietisko pierādījumu vai arestēto mantu kriminālprocesā, izņemto mantu administratīvā pārkāpuma lietā vai valstij piekritīgo mantu".  Nav nepieciešams detalizēti norādīt mērķi, kādēļ iekārta atrodas publiskas personas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anotācijā nav ietverts pilnvērtīgs skaidrojums, kāpēc nepieciešams paziņot iekārtu reģistra turētājam, ka iekārta ir kļuvusi par lietisko pierādījumu vai arestēto mantu kriminālprocesā, izņemto mantu administratīvā pārkāpuma lietā vai valstij piekritīgo mantu.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 persona informē iekārtu reģistra turētāju, ja iekārtu reģistrā reģistrēta iekārta nonāk publiskas personas rīcībā, to atdod atpakaļ reģistrā reģistrētam valdītājam vai iznīcina.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06.01.2026.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06.01.2026.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Atzinumi_23-TA-3125.docx</dc:title>
</cp:coreProperties>
</file>

<file path=docProps/custom.xml><?xml version="1.0" encoding="utf-8"?>
<Properties xmlns="http://schemas.openxmlformats.org/officeDocument/2006/custom-properties" xmlns:vt="http://schemas.openxmlformats.org/officeDocument/2006/docPropsVTypes"/>
</file>