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2010. gada 28. septembra noteikumos Nr. 907 "Noteikumi par dzīvojamās mājas apsekošanu, tehnisko apkopi un kārtējo remontu"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svītrot (ņemot vērā, ka tas atkārto jau normatīvajos akto noteikto) anotācijā norādīto: "Par piekļuves iekārtām un inženiertīkliem nenodrošināšanu dzīvojamās mājas īpašniekam vai pārvaldniekam (ja minēto pārvaldīšanas darbību uzdots veikt pārvaldniekam) iestājas administratīvā atbildība saskaņā ar Dzīvojamo māju pārvaldīšanas likuma 29. pantu." Vēršam uzmanību, ka atbilstoši Dzīvojamo māju pārvaldīšanas likuma 29.pantam "par likumā noteiktās obligāti veicamās pārvaldīšanas darbības neveikšanu, </w:t>
            </w:r>
            <w:r w:rsidR="00000000" w:rsidRPr="00000000" w:rsidDel="00000000">
              <w:rPr>
                <w:b w:val="1"/>
                <w:rtl w:val="0"/>
              </w:rPr>
              <w:t xml:space="preserve">kura skar sabiedrības intereses</w:t>
            </w:r>
            <w:r w:rsidR="00000000" w:rsidRPr="00000000" w:rsidDel="00000000">
              <w:rPr>
                <w:rtl w:val="0"/>
              </w:rPr>
              <w:t xml:space="preserve">, piemēro brīdinājumu vai naudas sodu dzīvojamās mājas īpašniekam vai pārvaldniekam (ja minēto pārvaldīšanas darbību uzdots veikt pārvaldniekam)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dzīvojamajā mājā atrodas citām personām piederošas, atbilstoši normatīvajos aktos noteiktajām prasībām izvietotas iekārtas un inženiertīkli, dzīvojamās mājas pārvaldītājs nodrošina iespēju attiecīgā inženiertīkla īpašniekam  piekļūt tam piederošajam inženiertīklam, lai veiktu ar šo inženiertīklu un iekārtu nodrošināšanu saistītus darbus, tai skaitā, lai nodrošinātu to tehnisko apkopi, vizuālo apskati un tehnisko apsekošanu.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tiesību normu, izsakot to šādā redakcijā: "7. Ja dzīvojamajā mājā atrodas citām personām piederošas, atbilstoši normatīvajos aktos noteiktajām prasībām izvietotas iekārtas un </w:t>
            </w:r>
            <w:r w:rsidR="00000000" w:rsidRPr="00000000" w:rsidDel="00000000">
              <w:rPr>
                <w:b w:val="1"/>
                <w:rtl w:val="0"/>
              </w:rPr>
              <w:t xml:space="preserve">ierīkoti </w:t>
            </w:r>
            <w:r w:rsidR="00000000" w:rsidRPr="00000000" w:rsidDel="00000000">
              <w:rPr>
                <w:rtl w:val="0"/>
              </w:rPr>
              <w:t xml:space="preserve">inženiertīkli, dzīvojamās mājas pārvaldītājs nodrošina iespēju attiecīgā inženiertīkla īpašniekam  piekļūt tam piederošajam inženiertīklam, lai veiktu ar šo inženiertīklu un iekārtu nodrošināšanu saistītus darbus, tai skaitā, lai nodrošinātu to tehnisko apkopi, vizuālo apskati un tehnisko apsekošanu."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25-TA-1327</w:t>
    </w:r>
    <w:r>
      <w:br/>
    </w:r>
    <w:r w:rsidR="00000000" w:rsidRPr="00000000" w:rsidDel="00000000">
      <w:rPr>
        <w:rtl w:val="0"/>
      </w:rPr>
      <w:t xml:space="preserve">Izdrukāts 27.04.2026.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25-TA-1327</w:t>
    </w:r>
    <w:r>
      <w:br/>
    </w:r>
    <w:r w:rsidR="00000000" w:rsidRPr="00000000" w:rsidDel="00000000">
      <w:rPr>
        <w:rtl w:val="0"/>
      </w:rPr>
      <w:t xml:space="preserve">Izdrukāts 27.04.2026.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Atzinumi_25-TA-1327.docx</dc:title>
</cp:coreProperties>
</file>

<file path=docProps/custom.xml><?xml version="1.0" encoding="utf-8"?>
<Properties xmlns="http://schemas.openxmlformats.org/officeDocument/2006/custom-properties" xmlns:vt="http://schemas.openxmlformats.org/officeDocument/2006/docPropsVTypes"/>
</file>