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atzinīgi novērtē tiesību akta projekta izstrādes procesā vērā ņemtos priekšlikumus par nozaru ierobežojumiem un konkrēta atbalsta norādīšanu profesionālās izglītības apguvē tiem izglītojamajiem, kas nav ieguvuši obligāto pamatizglītību. Vienlaikus, izvērtējot, ka atbalsts tiek šobrīd plānots tikai no ES līdzfinansētā projekta, aicinām atkārtoti izvērtēt, vai plānotās izmaiņas audzēkņu uzņemšanā un izglītības ieguvē ir īstenojamas šobrīd piedāvātajā regulējumā - kā pastāvīga tiesību norma, vai arī nosakot pārejas noteikumus, kuriem noslēdzoties tiek izvērtēta ieviestās tiesību normas rezultāti, veiktās investīcijas no ES fondiem (attiecīgi - iespēja tālāk nodrošināt tiesību normas īstenošanu pēc projekta beigām no valsts budžeta resursiem) un atkārtoti izvērtētu, vai tiek sasniegts sākotnējais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01.07.2025.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01.07.2025.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Atzinumi_25-TA-1147.docx</dc:title>
</cp:coreProperties>
</file>

<file path=docProps/custom.xml><?xml version="1.0" encoding="utf-8"?>
<Properties xmlns="http://schemas.openxmlformats.org/officeDocument/2006/custom-properties" xmlns:vt="http://schemas.openxmlformats.org/officeDocument/2006/docPropsVTypes"/>
</file>