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18. maija rīkojumā Nr. 335 "Par iekārtu sarakstu emisijas kvotu sadalei 2021.–2025.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 apakšpunktam viens no grozījumu iemesliem ir Komisijas 2022. gada 21. decembra Lēmums Nr.2023/C 64/12, ar ko Eiropas Savienības darījumu žurnāla centrālo administratoru instruē Eiropas Savienības darījumu žurnālā ievadīt labojumus Čehijas, Dānijas, Vācijas, Īrijas, Spānijas, Francijas, Itālijas, Latvijas, Ungārijas, Nīderlandes, Rumānijas un Zviedrijas valsts kvotu iedales tabulās, kur precizēti SIA “Gren Latvija” bāzlīnijas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w:t>
            </w:r>
            <w:r w:rsidR="00000000" w:rsidRPr="00000000" w:rsidDel="00000000">
              <w:rPr>
                <w:u w:val="single"/>
                <w:rtl w:val="0"/>
              </w:rPr>
              <w:t xml:space="preserve">norādām, ka,</w:t>
            </w:r>
            <w:r w:rsidR="00000000" w:rsidRPr="00000000" w:rsidDel="00000000">
              <w:rPr>
                <w:rtl w:val="0"/>
              </w:rPr>
              <w:t xml:space="preserve"> </w:t>
            </w:r>
            <w:r w:rsidR="00000000" w:rsidRPr="00000000" w:rsidDel="00000000">
              <w:rPr>
                <w:u w:val="single"/>
                <w:rtl w:val="0"/>
              </w:rPr>
              <w:t xml:space="preserve">piemēram, Komisijas 2022. gada 7. decembra Lēmums Nr. 2023/C 46/02</w:t>
            </w:r>
            <w:r w:rsidR="00000000" w:rsidRPr="00000000" w:rsidDel="00000000">
              <w:rPr>
                <w:rtl w:val="0"/>
              </w:rPr>
              <w:t xml:space="preserve">, ar ko Eiropas Savienības darījumu žurnāla centrālo administratoru instruē Eiropas Savienības darījumu žurnālā ievadīt izmaiņas Beļģijas, Čehijas, Dānijas, Vācijas, Īrijas, Spānijas, Francijas, Horvātijas, Itālijas, Latvijas, Lietuvas, Nīderlandes, Austrijas, Polijas, Portugāles, Rumānijas, Slovēnijas, Slovākijas, Somijas un Zviedrijas valsts kvotu iedales tabulās </w:t>
            </w:r>
            <w:r w:rsidR="00000000" w:rsidRPr="00000000" w:rsidDel="00000000">
              <w:rPr>
                <w:u w:val="single"/>
                <w:rtl w:val="0"/>
              </w:rPr>
              <w:t xml:space="preserve">anotācijā nav minēts un projektā, šķietami, nav veiktas arī no tā izrietošās emisijas kvotu apjoma izmaiņas vienam no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kontekstā ar Eiropas Komisijas lēmumiem attiecīgajā jautājumā, nolūkā nodrošināt, ka projekta saturs ir korekts un atbilstīgs pieņemtajiem lēmumiem, ka tas atbilst reālajai situācijai un veiktajām izmaiņām attiecīgajā jautājumā.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(turpmāk - noteikumi Nr.108)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Komisijas 2022. gada 21. decembra Lēmums Nr.2023/C 64/12, ar ko Eiropas Savienības darījumu žurnāla centrālo administratoru instruē Eiropas Savienības darījumu žurnālā ievadīt labojumus Čehijas, Dānijas, Vācijas, Īrijas, Spānijas, Francijas, Itālijas, Latvijas, Ungārijas, Nīderlandes, Rumānijas un Zviedrijas valsts kvotu iedales tabulās.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terminu "Ministru kabinets" kā arī tā pieteikto saīsinājumu "MK", uz pieteikto apzīmējumu "Rīkojuma grozījumu projekts" un paralēli lietoto, nepieteikto saīsinājumu "Rīkojuma projekts", vārdu savienojumu "Latvijas ES ETS operatori" un tā pieteikto saīsinājumu "EST operatori". Attiecībā uz pēdējo, norādām, ka tekstā tiek lietots arī "Latvijas ES ETS dalībnieki" un "Latvijas ETS operatori", lūdzam pārbaudīt attiecīgo saīsinājumu lietojumus, ievērot konsekventu saīsinājumu lietojumu un, nepieciešamības gadījumā, veikt vajadzīgos labojumus.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anotācijas 1.1. apakšpunktā tiek pieteikts saīsinājums "regula 2019/331" un "regula 2021/447", kuri netiek lietoti tālākajā anotācijas tekstā, līdz ar to to pieteikšana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noteikumu projekta 2.1. apakšpunktu, termina „uzņēmums” vietā izmantojot terminu „komersants” vai „saimnieciskās darbības veicējs”.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w:t>
    </w:r>
    <w:r>
      <w:br/>
    </w:r>
    <w:r w:rsidR="00000000" w:rsidRPr="00000000" w:rsidDel="00000000">
      <w:rPr>
        <w:rtl w:val="0"/>
      </w:rPr>
      <w:t xml:space="preserve">Izdrukāts 16.03.2023. 17.43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w:t>
    </w:r>
    <w:r>
      <w:br/>
    </w:r>
    <w:r w:rsidR="00000000" w:rsidRPr="00000000" w:rsidDel="00000000">
      <w:rPr>
        <w:rtl w:val="0"/>
      </w:rPr>
      <w:t xml:space="preserve">Izdrukāts 16.03.2023. 17.43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Atzinumi_23-TA-178.docx</dc:title>
</cp:coreProperties>
</file>

<file path=docProps/custom.xml><?xml version="1.0" encoding="utf-8"?>
<Properties xmlns="http://schemas.openxmlformats.org/officeDocument/2006/custom-properties" xmlns:vt="http://schemas.openxmlformats.org/officeDocument/2006/docPropsVTypes"/>
</file>