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2A547" w14:textId="77777777" w:rsidR="00B83ACC" w:rsidRPr="00B83ACC" w:rsidRDefault="00B83ACC" w:rsidP="00B83ACC">
      <w:r w:rsidRPr="00B83ACC">
        <w:rPr>
          <w:b/>
          <w:bCs/>
        </w:rPr>
        <w:t>No:</w:t>
      </w:r>
      <w:r w:rsidRPr="00B83ACC">
        <w:t xml:space="preserve"> Inguna Dancīte &lt;</w:t>
      </w:r>
      <w:hyperlink r:id="rId5" w:history="1">
        <w:r w:rsidRPr="00B83ACC">
          <w:rPr>
            <w:rStyle w:val="Hyperlink"/>
          </w:rPr>
          <w:t>inguna.dancite@fm.gov.lv</w:t>
        </w:r>
      </w:hyperlink>
      <w:r w:rsidRPr="00B83ACC">
        <w:t>&gt; Pasts &lt;</w:t>
      </w:r>
      <w:hyperlink r:id="rId6" w:history="1">
        <w:r w:rsidRPr="00B83ACC">
          <w:rPr>
            <w:rStyle w:val="Hyperlink"/>
          </w:rPr>
          <w:t>Pasts@fm.gov.lv</w:t>
        </w:r>
      </w:hyperlink>
      <w:r w:rsidRPr="00B83ACC">
        <w:t>&gt; vārdā</w:t>
      </w:r>
      <w:r w:rsidRPr="00B83ACC">
        <w:br/>
      </w:r>
      <w:r w:rsidRPr="00B83ACC">
        <w:rPr>
          <w:b/>
          <w:bCs/>
        </w:rPr>
        <w:t>Nosūtīts:</w:t>
      </w:r>
      <w:r w:rsidRPr="00B83ACC">
        <w:t xml:space="preserve"> piektdiena, 2021. gada 4. jūnijs 15:17</w:t>
      </w:r>
      <w:r w:rsidRPr="00B83ACC">
        <w:br/>
      </w:r>
      <w:r w:rsidRPr="00B83ACC">
        <w:rPr>
          <w:b/>
          <w:bCs/>
        </w:rPr>
        <w:t>Kam:</w:t>
      </w:r>
      <w:r w:rsidRPr="00B83ACC">
        <w:t xml:space="preserve"> Valsts kanceleja</w:t>
      </w:r>
      <w:r w:rsidRPr="00B83ACC">
        <w:br/>
      </w:r>
      <w:r w:rsidRPr="00B83ACC">
        <w:rPr>
          <w:b/>
          <w:bCs/>
        </w:rPr>
        <w:t>Kopija:</w:t>
      </w:r>
      <w:r w:rsidRPr="00B83ACC">
        <w:t xml:space="preserve"> Kristīne Stone</w:t>
      </w:r>
      <w:r w:rsidRPr="00B83ACC">
        <w:br/>
      </w:r>
      <w:r w:rsidRPr="00B83ACC">
        <w:rPr>
          <w:b/>
          <w:bCs/>
        </w:rPr>
        <w:t>Tēma:</w:t>
      </w:r>
      <w:r w:rsidRPr="00B83ACC">
        <w:t xml:space="preserve"> Par precizēto likumprojektu “Trauksmes celšanas likums” </w:t>
      </w:r>
    </w:p>
    <w:p w14:paraId="6F7B875B" w14:textId="77777777" w:rsidR="00B83ACC" w:rsidRPr="00B83ACC" w:rsidRDefault="00B83ACC" w:rsidP="00B83ACC">
      <w:r w:rsidRPr="00B83ACC">
        <w:t> </w:t>
      </w:r>
    </w:p>
    <w:p w14:paraId="7104A3D8" w14:textId="77777777" w:rsidR="00B83ACC" w:rsidRPr="00B83ACC" w:rsidRDefault="00B83ACC" w:rsidP="00B83ACC">
      <w:r w:rsidRPr="00B83ACC">
        <w:rPr>
          <w:b/>
          <w:bCs/>
        </w:rPr>
        <w:t>INFORMĀCIJAI:</w:t>
      </w:r>
      <w:r w:rsidRPr="00B83ACC">
        <w:t xml:space="preserve"> E-pasta vēstules sūtītājs ir ārējais adresāts. </w:t>
      </w:r>
    </w:p>
    <w:p w14:paraId="5A0E83FD" w14:textId="77777777" w:rsidR="00B83ACC" w:rsidRPr="00B83ACC" w:rsidRDefault="00B83ACC" w:rsidP="00B83ACC"/>
    <w:p w14:paraId="79EA57C0" w14:textId="77777777" w:rsidR="00B83ACC" w:rsidRPr="00B83ACC" w:rsidRDefault="00B83ACC" w:rsidP="00B83ACC">
      <w:r w:rsidRPr="00B83ACC">
        <w:t>04.06.2021.  Nr. 10.1-6/7-1/693</w:t>
      </w:r>
    </w:p>
    <w:tbl>
      <w:tblPr>
        <w:tblW w:w="0" w:type="auto"/>
        <w:jc w:val="right"/>
        <w:tblCellMar>
          <w:left w:w="0" w:type="dxa"/>
          <w:right w:w="0" w:type="dxa"/>
        </w:tblCellMar>
        <w:tblLook w:val="04A0" w:firstRow="1" w:lastRow="0" w:firstColumn="1" w:lastColumn="0" w:noHBand="0" w:noVBand="1"/>
      </w:tblPr>
      <w:tblGrid>
        <w:gridCol w:w="4644"/>
      </w:tblGrid>
      <w:tr w:rsidR="00B83ACC" w:rsidRPr="00B83ACC" w14:paraId="170038FC" w14:textId="77777777" w:rsidTr="00B83ACC">
        <w:trPr>
          <w:jc w:val="right"/>
        </w:trPr>
        <w:tc>
          <w:tcPr>
            <w:tcW w:w="4644" w:type="dxa"/>
            <w:tcMar>
              <w:top w:w="0" w:type="dxa"/>
              <w:left w:w="108" w:type="dxa"/>
              <w:bottom w:w="0" w:type="dxa"/>
              <w:right w:w="108" w:type="dxa"/>
            </w:tcMar>
            <w:hideMark/>
          </w:tcPr>
          <w:p w14:paraId="2E354E99" w14:textId="77777777" w:rsidR="00B83ACC" w:rsidRPr="00B83ACC" w:rsidRDefault="00B83ACC" w:rsidP="00B83ACC">
            <w:bookmarkStart w:id="0" w:name="org_nos"/>
            <w:r w:rsidRPr="00B83ACC">
              <w:rPr>
                <w:b/>
                <w:bCs/>
              </w:rPr>
              <w:t> </w:t>
            </w:r>
            <w:bookmarkEnd w:id="0"/>
          </w:p>
          <w:p w14:paraId="4E150226" w14:textId="77777777" w:rsidR="00B83ACC" w:rsidRPr="00B83ACC" w:rsidRDefault="00B83ACC" w:rsidP="00B83ACC">
            <w:r w:rsidRPr="00B83ACC">
              <w:rPr>
                <w:b/>
                <w:bCs/>
              </w:rPr>
              <w:t xml:space="preserve">Valsts kancelejai </w:t>
            </w:r>
          </w:p>
        </w:tc>
      </w:tr>
    </w:tbl>
    <w:p w14:paraId="7E96D277" w14:textId="77777777" w:rsidR="00B83ACC" w:rsidRPr="00B83ACC" w:rsidRDefault="00B83ACC" w:rsidP="00B83ACC">
      <w:r w:rsidRPr="00B83ACC">
        <w:t> </w:t>
      </w:r>
    </w:p>
    <w:tbl>
      <w:tblPr>
        <w:tblW w:w="0" w:type="auto"/>
        <w:tblCellMar>
          <w:left w:w="0" w:type="dxa"/>
          <w:right w:w="0" w:type="dxa"/>
        </w:tblCellMar>
        <w:tblLook w:val="04A0" w:firstRow="1" w:lastRow="0" w:firstColumn="1" w:lastColumn="0" w:noHBand="0" w:noVBand="1"/>
      </w:tblPr>
      <w:tblGrid>
        <w:gridCol w:w="5496"/>
      </w:tblGrid>
      <w:tr w:rsidR="00B83ACC" w:rsidRPr="00B83ACC" w14:paraId="7BBF5503" w14:textId="77777777" w:rsidTr="00B83ACC">
        <w:trPr>
          <w:trHeight w:val="887"/>
        </w:trPr>
        <w:tc>
          <w:tcPr>
            <w:tcW w:w="5496" w:type="dxa"/>
            <w:tcMar>
              <w:top w:w="0" w:type="dxa"/>
              <w:left w:w="108" w:type="dxa"/>
              <w:bottom w:w="0" w:type="dxa"/>
              <w:right w:w="108" w:type="dxa"/>
            </w:tcMar>
            <w:hideMark/>
          </w:tcPr>
          <w:p w14:paraId="7B1524E6" w14:textId="77777777" w:rsidR="00B83ACC" w:rsidRPr="00B83ACC" w:rsidRDefault="00B83ACC" w:rsidP="00B83ACC">
            <w:r w:rsidRPr="00B83ACC">
              <w:rPr>
                <w:i/>
                <w:iCs/>
              </w:rPr>
              <w:t> </w:t>
            </w:r>
          </w:p>
          <w:p w14:paraId="75358D8D" w14:textId="77777777" w:rsidR="00B83ACC" w:rsidRPr="00B83ACC" w:rsidRDefault="00B83ACC" w:rsidP="00B83ACC">
            <w:r w:rsidRPr="00B83ACC">
              <w:rPr>
                <w:i/>
                <w:iCs/>
              </w:rPr>
              <w:t>Par precizēto likumprojektu “Trauksmes</w:t>
            </w:r>
          </w:p>
          <w:p w14:paraId="2284601F" w14:textId="77777777" w:rsidR="00B83ACC" w:rsidRPr="00B83ACC" w:rsidRDefault="00B83ACC" w:rsidP="00B83ACC">
            <w:r w:rsidRPr="00B83ACC">
              <w:rPr>
                <w:i/>
                <w:iCs/>
              </w:rPr>
              <w:t xml:space="preserve">celšanas likums” VSS-654 </w:t>
            </w:r>
          </w:p>
          <w:p w14:paraId="4B684F84" w14:textId="77777777" w:rsidR="00B83ACC" w:rsidRPr="00B83ACC" w:rsidRDefault="00B83ACC" w:rsidP="00B83ACC">
            <w:r w:rsidRPr="00B83ACC">
              <w:rPr>
                <w:i/>
                <w:iCs/>
              </w:rPr>
              <w:t> </w:t>
            </w:r>
          </w:p>
        </w:tc>
      </w:tr>
    </w:tbl>
    <w:p w14:paraId="762D6107" w14:textId="77777777" w:rsidR="00B83ACC" w:rsidRPr="00B83ACC" w:rsidRDefault="00B83ACC" w:rsidP="00B83ACC">
      <w:r w:rsidRPr="00B83ACC">
        <w:t> </w:t>
      </w:r>
    </w:p>
    <w:p w14:paraId="45F03D02" w14:textId="77777777" w:rsidR="00B83ACC" w:rsidRPr="00B83ACC" w:rsidRDefault="00B83ACC" w:rsidP="00B83ACC">
      <w:r w:rsidRPr="00B83ACC">
        <w:t xml:space="preserve">Finanšu ministrija atbilstoši kompetencei ir izskatījusi Valsts kancelejas precizēto likumprojektu “Trauksmes celšanas likums”  (turpmāk – likumprojekts), tā sākotnējās ietekmes novērtējuma ziņojumu (anotācija) un izziņu par atzinumos sniegtajiem iebildumiem un izsaka šādus iebildumus un priekšlikumu. </w:t>
      </w:r>
    </w:p>
    <w:p w14:paraId="2C614C1F" w14:textId="77777777" w:rsidR="00B83ACC" w:rsidRPr="00B83ACC" w:rsidRDefault="00B83ACC" w:rsidP="00B83ACC">
      <w:r w:rsidRPr="00B83ACC">
        <w:t> </w:t>
      </w:r>
    </w:p>
    <w:p w14:paraId="2BB2054C" w14:textId="77777777" w:rsidR="00B83ACC" w:rsidRPr="00B83ACC" w:rsidRDefault="00B83ACC" w:rsidP="00B83ACC">
      <w:r w:rsidRPr="00B83ACC">
        <w:t xml:space="preserve">            Iebildumi: </w:t>
      </w:r>
    </w:p>
    <w:p w14:paraId="67820BC0" w14:textId="77777777" w:rsidR="00B83ACC" w:rsidRPr="00B83ACC" w:rsidRDefault="00B83ACC" w:rsidP="00B83ACC">
      <w:r w:rsidRPr="00B83ACC">
        <w:t> </w:t>
      </w:r>
    </w:p>
    <w:p w14:paraId="0309A81C" w14:textId="77777777" w:rsidR="00B83ACC" w:rsidRPr="00B83ACC" w:rsidRDefault="00B83ACC" w:rsidP="00B83ACC">
      <w:pPr>
        <w:numPr>
          <w:ilvl w:val="0"/>
          <w:numId w:val="1"/>
        </w:numPr>
      </w:pPr>
      <w:r w:rsidRPr="00B83ACC">
        <w:t>Finanšu ministrija  izsaka iebildumu par likumprojekta 16.pantā iekļautā atbrīvojuma no valsts nodevas administratīvajā procesā tiesā iederēšanos konkrētajā likumprojektā. Tas ir pretrunā ar likumā “Par nodokļiem un nodevām” nostiprinātajiem valsts nodevu sistēmas pamatprincipiem.</w:t>
      </w:r>
    </w:p>
    <w:p w14:paraId="2482E81B" w14:textId="77777777" w:rsidR="00B83ACC" w:rsidRPr="00B83ACC" w:rsidRDefault="00B83ACC" w:rsidP="00B83ACC">
      <w:r w:rsidRPr="00B83ACC">
        <w:t>Atbilstoši valsts nodevu sistēmas pamatprincipiem atbrīvojums (un arī atvieglojums) no valsts nodevas samaksas nosakāms tikai tajā likumā, ar kuru ir noteikta šī konkrētā valsts nodeva, vai uz likuma pamata izdotajos Ministru kabineta noteikumos.</w:t>
      </w:r>
    </w:p>
    <w:p w14:paraId="4D0F148C" w14:textId="77777777" w:rsidR="00B83ACC" w:rsidRPr="00B83ACC" w:rsidRDefault="00B83ACC" w:rsidP="00B83ACC">
      <w:r w:rsidRPr="00B83ACC">
        <w:t>Šāds nosacījums izriet no likumā “Par nodokļiem un nodevām” nostiprinātajiem nodevu sistēmas pamatprincipiem. Proti, tā kā minētais likums cita starpā nosaka nodokļu un nodevu sistēmas principus, valsts nodokļu veidus, nodevu veidus, pašvaldības nodevu objektus, nodokļu un nodevu noteikšanas, aprēķināšanas, iekasēšanas un atmaksāšanas kārtību</w:t>
      </w:r>
      <w:bookmarkStart w:id="1" w:name="_ftnref1"/>
      <w:r w:rsidRPr="00B83ACC">
        <w:fldChar w:fldCharType="begin"/>
      </w:r>
      <w:r w:rsidRPr="00B83ACC">
        <w:instrText xml:space="preserve"> HYPERLINK "" \l "_ftn1" </w:instrText>
      </w:r>
      <w:r w:rsidRPr="00B83ACC">
        <w:fldChar w:fldCharType="separate"/>
      </w:r>
      <w:r w:rsidRPr="00B83ACC">
        <w:rPr>
          <w:rStyle w:val="Hyperlink"/>
          <w:vertAlign w:val="superscript"/>
        </w:rPr>
        <w:t>[1]</w:t>
      </w:r>
      <w:r w:rsidRPr="00B83ACC">
        <w:fldChar w:fldCharType="end"/>
      </w:r>
      <w:bookmarkEnd w:id="1"/>
      <w:r w:rsidRPr="00B83ACC">
        <w:t>, tad attiecīgi minētais likums attiecas uz visiem nodokļiem un nodevām, ja konkrētā nodokļa likums neparedz citu, konkrētā nodokļa vai nodevas specifikai atbilstošu kārtību, kura nedrīkst būt pretrunā ar šo likumu</w:t>
      </w:r>
      <w:bookmarkStart w:id="2" w:name="_ftnref2"/>
      <w:r w:rsidRPr="00B83ACC">
        <w:fldChar w:fldCharType="begin"/>
      </w:r>
      <w:r w:rsidRPr="00B83ACC">
        <w:instrText xml:space="preserve"> HYPERLINK "" \l "_ftn2" </w:instrText>
      </w:r>
      <w:r w:rsidRPr="00B83ACC">
        <w:fldChar w:fldCharType="separate"/>
      </w:r>
      <w:r w:rsidRPr="00B83ACC">
        <w:rPr>
          <w:rStyle w:val="Hyperlink"/>
          <w:vertAlign w:val="superscript"/>
        </w:rPr>
        <w:t>[2]</w:t>
      </w:r>
      <w:r w:rsidRPr="00B83ACC">
        <w:fldChar w:fldCharType="end"/>
      </w:r>
      <w:bookmarkEnd w:id="2"/>
      <w:r w:rsidRPr="00B83ACC">
        <w:t>.</w:t>
      </w:r>
    </w:p>
    <w:p w14:paraId="56942D4D" w14:textId="77777777" w:rsidR="00B83ACC" w:rsidRPr="00B83ACC" w:rsidRDefault="00B83ACC" w:rsidP="00B83ACC">
      <w:r w:rsidRPr="00B83ACC">
        <w:lastRenderedPageBreak/>
        <w:t xml:space="preserve">Saskaņā ar likuma “Par nodokļiem un nodevām” 10.panta pirmo daļu valsts nodevas, ievērojot šajā likumā noteikto, piemēro saskaņā ar šo likumu, citiem likumiem, kā arī Ministru kabineta noteikumiem, ja attiecīgais likums, ar kuru valsts nodeva noteikta, paredz deleģējumu Ministru kabinetam izdot noteikumus valsts nodevas piemērošanai. </w:t>
      </w:r>
    </w:p>
    <w:p w14:paraId="0D9AD923" w14:textId="77777777" w:rsidR="00B83ACC" w:rsidRPr="00B83ACC" w:rsidRDefault="00B83ACC" w:rsidP="00B83ACC">
      <w:r w:rsidRPr="00B83ACC">
        <w:t xml:space="preserve">Jānorāda, ka attiecībā uz konkrēto valsts nodevu ar “citiem likumiem” šajā gadījumā tiek saprasts nevis jebkurš likums, bet gan likums, ar kuru konkrētā valsts nodeva ir uzlikta. Līdz ar to, ja likums, kas nosaka konkrēto valsts nodevu, neparedz deleģējumu Ministru kabinetam izdot noteikumus valsts nodevas piemērošanai, tad ar nodevu saistītie jautājumi kā atvieglojumi vai atbrīvojumi ir nosakāmi tikai šī konkrētā likuma ietvaros. </w:t>
      </w:r>
    </w:p>
    <w:p w14:paraId="0888D85A" w14:textId="77777777" w:rsidR="00B83ACC" w:rsidRPr="00B83ACC" w:rsidRDefault="00B83ACC" w:rsidP="00B83ACC">
      <w:r w:rsidRPr="00B83ACC">
        <w:t>Kā izriet no likumprojekta 16.panta, trauksmes cēlājs ir atbrīvots no valsts nodevas administratīvajā procesā tiesā. Tā kā pienākums maksāt valsts nodevu par administratīvo procesu tiesā ir noteikts Administratīvā procesa likumā (kurā jau šobrīd ir noteikti izņēmumi no vispārīgiem noteikumiem par valsts nodevu</w:t>
      </w:r>
      <w:bookmarkStart w:id="3" w:name="_ftnref3"/>
      <w:r w:rsidRPr="00B83ACC">
        <w:fldChar w:fldCharType="begin"/>
      </w:r>
      <w:r w:rsidRPr="00B83ACC">
        <w:instrText xml:space="preserve"> HYPERLINK "" \l "_ftn3" </w:instrText>
      </w:r>
      <w:r w:rsidRPr="00B83ACC">
        <w:fldChar w:fldCharType="separate"/>
      </w:r>
      <w:r w:rsidRPr="00B83ACC">
        <w:rPr>
          <w:rStyle w:val="Hyperlink"/>
          <w:vertAlign w:val="superscript"/>
        </w:rPr>
        <w:t>[3]</w:t>
      </w:r>
      <w:r w:rsidRPr="00B83ACC">
        <w:fldChar w:fldCharType="end"/>
      </w:r>
      <w:bookmarkEnd w:id="3"/>
      <w:r w:rsidRPr="00B83ACC">
        <w:t xml:space="preserve">), tad attiecīgi minētajā likumā ir nosakāms arī likumprojekta 16.pantā ietvertais atbrīvojums no valsts nodevas samaksas. </w:t>
      </w:r>
    </w:p>
    <w:p w14:paraId="04E0B6DC" w14:textId="77777777" w:rsidR="00B83ACC" w:rsidRPr="00B83ACC" w:rsidRDefault="00B83ACC" w:rsidP="00B83ACC">
      <w:r w:rsidRPr="00B83ACC">
        <w:t> </w:t>
      </w:r>
    </w:p>
    <w:p w14:paraId="3BD3D84F" w14:textId="77777777" w:rsidR="00B83ACC" w:rsidRPr="00B83ACC" w:rsidRDefault="00B83ACC" w:rsidP="00B83ACC">
      <w:r w:rsidRPr="00B83ACC">
        <w:t>              Vienlaikus vēršam uzmanību, ka Finanšu ministrijai nav izprotams pamatojums, iekļaujot šāda veida regulējumu šobrīd spēkā esošajā Trauksmes celšanas likumā (turklāt šobrīd likumprojekta anotācijā šāds regulējums vispār netiek analizēts).</w:t>
      </w:r>
    </w:p>
    <w:p w14:paraId="491E25FE" w14:textId="77777777" w:rsidR="00B83ACC" w:rsidRPr="00B83ACC" w:rsidRDefault="00B83ACC" w:rsidP="00B83ACC">
      <w:r w:rsidRPr="00B83ACC">
        <w:t xml:space="preserve">Saeimā iesniegtajā likumprojekta “Trauksmes celšanas likums” (Nr.1253/Lp12) sākotnējā redakcijā bija iekļauts pārejas noteikumu punkts, paredzot uzdevumu Ministru kabinetam līdz 2018.gada 1.decembrim iesniegt Saeimā grozījumus Administratīvā procesa likumā, kas regulētu trauksmes cēlēja un tā radinieku atbrīvošanu no valsts nodevas samaksas (skatīt: </w:t>
      </w:r>
      <w:hyperlink r:id="rId7" w:history="1">
        <w:r w:rsidRPr="00B83ACC">
          <w:rPr>
            <w:rStyle w:val="Hyperlink"/>
          </w:rPr>
          <w:t>https://titania.saeima.lv/LIVS12/saeimalivs12.nsf/0/F0B7EDD44A5D8955C225828900471579?OpenDocument</w:t>
        </w:r>
      </w:hyperlink>
      <w:r w:rsidRPr="00B83ACC">
        <w:t xml:space="preserve">). Kā secināms, šādu nostāju par pareizu uzskatīja gan Valsts kanceleja, virzot likumprojektu tā sākotnējā redakcijā uz Saeimu, gan šādam risinājumam piekrita arī Finanšu ministrija. Taču, izskatot likumprojektu Saeimā 2.lasījumā, tika atbalstīts tieslietu ministra priekšlikums iekļaut atbrīvojumu no konkrētās valsts nodevas samaksas šajā likumprojektā, savukārt Ministru kabinetam doto uzdevumu veikt grozījumus Administratīvā procesa likumā svītrot. Tieslietu ministrs, iesniedzot konkrēto priekšlikumu (Tieslietu ministrijas 2018.gada 8.jūnija vēstule Nr.1-11/1506), norāda, ka atbrīvošana no valsts nodevas samaksas ir paredzēta gan Administratīvā procesa likumā, gan arī var būt paredzēta citos likumos, un lai novērstu nepieciešamību grozīt Administratīvā procesa likumu, lūdz regulējumu par trauksmes cēlēja un tā radinieka atbrīvošanu no valsts nodevas samaksas administratīvajā procesā tiesā iekļaut likumprojektā. Arguments neveikt grozījumus kādā no likumiem, neatsver iepriekš norādītās bažas un argumentāciju par valsts nodevu sistēmas pamatprincipu ievērošanu. </w:t>
      </w:r>
    </w:p>
    <w:p w14:paraId="24A44C34" w14:textId="77777777" w:rsidR="00B83ACC" w:rsidRPr="00B83ACC" w:rsidRDefault="00B83ACC" w:rsidP="00B83ACC">
      <w:r w:rsidRPr="00B83ACC">
        <w:t xml:space="preserve">Vienlaikus informējam, ka esam izvērtējuši arī Valsts kancelejas 2021.gada 2.jūnija vēstulē Nr.2021-7.3.1./70-1529 sniegto argumentāciju par atbrīvojuma no valsts nodevas samaksas iekļaušanu likumprojektā. </w:t>
      </w:r>
    </w:p>
    <w:p w14:paraId="4E0C32F1" w14:textId="77777777" w:rsidR="00B83ACC" w:rsidRPr="00B83ACC" w:rsidRDefault="00B83ACC" w:rsidP="00B83ACC">
      <w:r w:rsidRPr="00B83ACC">
        <w:t>Finanšu ministrija secina, ka Valsts kancelejas ieskatā likumprojektā var tikt saglabāts Trauksmes celšanas likuma 10. panta pirmās daļas 4. punktā un 16. pantā ietvertais regulējums, jo minētais regulējums kopš Trauksmes celšanas likuma pieņemšanas nav zaudējis aktualitāti un vēl joprojām atbilst normas izstrādes mērķim – skaidri, vienuviet noteikt, uz kādām aizsardzības garantijām ir tiesības ne tikai trauksmes cēlējiem, bet arī tā radiniekiem un nākotnē atbilstoši likumprojektam arī saistītām personām.</w:t>
      </w:r>
    </w:p>
    <w:p w14:paraId="450B2F67" w14:textId="77777777" w:rsidR="00B83ACC" w:rsidRPr="00B83ACC" w:rsidRDefault="00B83ACC" w:rsidP="00B83ACC">
      <w:r w:rsidRPr="00B83ACC">
        <w:lastRenderedPageBreak/>
        <w:t>Tieši šis mērķis – skaidrs un vienuviet noteikts regulējums atbilst arī valsts nodevu sistēmas pamatprincipa būtībai – jautājumi, kas saistīti ar konkrēto valsts nodevu skaidri un vienuviet nosakāmi likumā, ar kuru šī konkrētā valsts nodeva uzlikta. Jo, uzliekot nodevu ar vienu likumu, bet atbrīvojumus no šīs nodevas paredzot citos likumos – tiek veidota sarežģīta, nepārskatāma un sabiedrībai neizprotama tiesību sistēma.</w:t>
      </w:r>
    </w:p>
    <w:p w14:paraId="592652D1" w14:textId="77777777" w:rsidR="00B83ACC" w:rsidRPr="00B83ACC" w:rsidRDefault="00B83ACC" w:rsidP="00B83ACC">
      <w:r w:rsidRPr="00B83ACC">
        <w:t xml:space="preserve">Līdz ar to, lai normatīvais regulējums tiktu izstrādāts, ievērojot likumā “Par nodokļiem un nodevām” nostiprinātos valsts nodevu sistēmas pamatprincipus, lūdzam likumprojekta pārejas noteikumu papildināt ar jaunu punktu, paredzot konkrētu termiņu, līdz kuram veicami grozījumi Administratīvā procesa likumā (līdzīgi, kā tas tika noteikts Saeimā iesniegtā likumprojekta “Trauksmes celšanas likums” (Nr.1253/Lp12) pārejas noteikumu 3.punktā). </w:t>
      </w:r>
    </w:p>
    <w:p w14:paraId="2E43F1F2" w14:textId="77777777" w:rsidR="00B83ACC" w:rsidRPr="00B83ACC" w:rsidRDefault="00B83ACC" w:rsidP="00B83ACC">
      <w:r w:rsidRPr="00B83ACC">
        <w:t>            </w:t>
      </w:r>
    </w:p>
    <w:p w14:paraId="7FA59878" w14:textId="77777777" w:rsidR="00B83ACC" w:rsidRPr="00B83ACC" w:rsidRDefault="00B83ACC" w:rsidP="00B83ACC">
      <w:r w:rsidRPr="00B83ACC">
        <w:t>           2. Vēršam uzmanību, ka Komercdarbības atbalsta kontroles likuma 9.pantā ir noteiktas Komercdarbības atbalsta uzraudzības institūcijas, kuras īsteno Finanšu ministrija un Zemkopības ministrija, savukārt, Komercdarbības atbalsta kontroles likuma  </w:t>
      </w:r>
    </w:p>
    <w:p w14:paraId="0ED71F58" w14:textId="77777777" w:rsidR="00B83ACC" w:rsidRPr="00B83ACC" w:rsidRDefault="00B83ACC" w:rsidP="00B83ACC">
      <w:r w:rsidRPr="00B83ACC">
        <w:t xml:space="preserve">               1.panta otrās daļas 4.punktā ir noteikta atbalsta sniedzēja definīcija, un likuma IV un V nodaļa nosaka atbalsta sniedzēja pienākumu nodrošināt nelikumīga (un nesaderīga) komercdarbības atbalsta atgūšanu, līdz ar to, no likumprojekta nav skaidrs, </w:t>
      </w:r>
    </w:p>
    <w:p w14:paraId="6DDA2E3C" w14:textId="77777777" w:rsidR="00B83ACC" w:rsidRPr="00B83ACC" w:rsidRDefault="00B83ACC" w:rsidP="00B83ACC">
      <w:r w:rsidRPr="00B83ACC">
        <w:t>               kā tiks noteikta kompetentā institūcija, kura būs atbildīga par trauksmes cēlēja ziņojuma izskatīšanu par komercdarbības atbalsta pārkāpumiem. Līdz ar to lūdzam papildināt likumprojekta anotāciju ar skaidrojumu par kompetento institūciju             </w:t>
      </w:r>
    </w:p>
    <w:p w14:paraId="662CA7A2" w14:textId="77777777" w:rsidR="00B83ACC" w:rsidRPr="00B83ACC" w:rsidRDefault="00B83ACC" w:rsidP="00B83ACC">
      <w:r w:rsidRPr="00B83ACC">
        <w:t xml:space="preserve">               noteikšanu komercdarbības atbalsta pārkāpumu gadījumā, lai nodrošinātu skaidrību par trauksmes cēlēja ziņojuma izskatīšanas gaitu. </w:t>
      </w:r>
    </w:p>
    <w:p w14:paraId="5A27EB29" w14:textId="77777777" w:rsidR="00B83ACC" w:rsidRPr="00B83ACC" w:rsidRDefault="00B83ACC" w:rsidP="00B83ACC">
      <w:r w:rsidRPr="00B83ACC">
        <w:t> </w:t>
      </w:r>
    </w:p>
    <w:p w14:paraId="487560A8" w14:textId="77777777" w:rsidR="00B83ACC" w:rsidRPr="00B83ACC" w:rsidRDefault="00B83ACC" w:rsidP="00B83ACC">
      <w:r w:rsidRPr="00B83ACC">
        <w:t>          Priekšlikums:</w:t>
      </w:r>
    </w:p>
    <w:p w14:paraId="5A09E1EC" w14:textId="77777777" w:rsidR="00B83ACC" w:rsidRPr="00B83ACC" w:rsidRDefault="00B83ACC" w:rsidP="00B83ACC">
      <w:r w:rsidRPr="00B83ACC">
        <w:t> </w:t>
      </w:r>
    </w:p>
    <w:p w14:paraId="482D1338" w14:textId="77777777" w:rsidR="00B83ACC" w:rsidRPr="00B83ACC" w:rsidRDefault="00B83ACC" w:rsidP="00B83ACC">
      <w:r w:rsidRPr="00B83ACC">
        <w:t>Ņemot vērā to, ka komercdarbības atbalsta (valsts atbalsta) jautājumus Latvijā horizontāli regulē Komercdarbības atbalsta kontroles likums, vienotas terminoloģijas nolūkos lūdzam precizēt likumprojekta 3. panta pirmās daļas 16. punktu, aizstājot vārdu “valsts” ar vārdu “komercdarbības”. Lūdzam attiecīgi precizēt arī anotāciju.</w:t>
      </w:r>
    </w:p>
    <w:p w14:paraId="0447282F" w14:textId="77777777" w:rsidR="00B83ACC" w:rsidRPr="00B83ACC" w:rsidRDefault="00B83ACC" w:rsidP="00B83ACC">
      <w:r w:rsidRPr="00B83ACC">
        <w:t> </w:t>
      </w:r>
    </w:p>
    <w:p w14:paraId="38DD4893" w14:textId="77777777" w:rsidR="00B83ACC" w:rsidRPr="00B83ACC" w:rsidRDefault="00B83ACC" w:rsidP="00B83ACC">
      <w:r w:rsidRPr="00B83ACC">
        <w:t> </w:t>
      </w:r>
    </w:p>
    <w:p w14:paraId="1C35FD68" w14:textId="77777777" w:rsidR="00B83ACC" w:rsidRPr="00B83ACC" w:rsidRDefault="00B83ACC" w:rsidP="00B83ACC">
      <w:r w:rsidRPr="00B83ACC">
        <w:t> </w:t>
      </w:r>
    </w:p>
    <w:p w14:paraId="5E4735A1" w14:textId="60DE4BB2" w:rsidR="00B83ACC" w:rsidRPr="00B83ACC" w:rsidRDefault="00B83ACC" w:rsidP="00B83ACC">
      <w:r w:rsidRPr="00B83ACC">
        <w:rPr>
          <w:b/>
          <w:bCs/>
        </w:rPr>
        <w:t>Ar cieņu</w:t>
      </w:r>
      <w:r w:rsidRPr="00B83ACC">
        <w:rPr>
          <w:b/>
          <w:bCs/>
        </w:rPr>
        <w:br/>
        <w:t>Elīna Ozola</w:t>
      </w:r>
      <w:r w:rsidRPr="00B83ACC">
        <w:br/>
        <w:t xml:space="preserve">Juridiskā departamenta </w:t>
      </w:r>
      <w:r w:rsidRPr="00B83ACC">
        <w:br/>
        <w:t>Juridiskā atbalsta nodaļas juriskonsulte</w:t>
      </w:r>
      <w:r w:rsidRPr="00B83ACC">
        <w:br/>
        <w:t>Tālr.: (+371) 67095634</w:t>
      </w:r>
      <w:r w:rsidRPr="00B83ACC">
        <w:br/>
        <w:t xml:space="preserve">E-pasts: </w:t>
      </w:r>
      <w:hyperlink r:id="rId8" w:history="1">
        <w:r w:rsidRPr="00B83ACC">
          <w:rPr>
            <w:rStyle w:val="Hyperlink"/>
          </w:rPr>
          <w:t>elina.ozola@fm.gov.lv</w:t>
        </w:r>
      </w:hyperlink>
      <w:r w:rsidRPr="00B83ACC">
        <w:br/>
      </w:r>
      <w:r w:rsidRPr="00B83ACC">
        <w:br/>
        <w:t>Latvijas Republikas Finanšu ministrija</w:t>
      </w:r>
      <w:r w:rsidRPr="00B83ACC">
        <w:br/>
        <w:t xml:space="preserve">Smilšu iela 1, </w:t>
      </w:r>
      <w:proofErr w:type="spellStart"/>
      <w:r w:rsidRPr="00B83ACC">
        <w:t>Riga</w:t>
      </w:r>
      <w:proofErr w:type="spellEnd"/>
      <w:r w:rsidRPr="00B83ACC">
        <w:t>, LV-1919, Latvija</w:t>
      </w:r>
      <w:r w:rsidRPr="00B83ACC">
        <w:br/>
      </w:r>
      <w:r w:rsidRPr="00B83ACC">
        <w:lastRenderedPageBreak/>
        <w:t xml:space="preserve">Mājaslapa: </w:t>
      </w:r>
      <w:hyperlink r:id="rId9" w:history="1">
        <w:r w:rsidRPr="00B83ACC">
          <w:rPr>
            <w:rStyle w:val="Hyperlink"/>
          </w:rPr>
          <w:t>www.fm.gov.lv</w:t>
        </w:r>
      </w:hyperlink>
      <w:r w:rsidRPr="00B83ACC">
        <w:br/>
        <w:t xml:space="preserve">E-pasts: </w:t>
      </w:r>
      <w:hyperlink r:id="rId10" w:history="1">
        <w:r w:rsidRPr="00B83ACC">
          <w:rPr>
            <w:rStyle w:val="Hyperlink"/>
          </w:rPr>
          <w:t>pasts@fm.gov.lv</w:t>
        </w:r>
      </w:hyperlink>
      <w:r w:rsidRPr="00B83ACC">
        <w:br/>
      </w:r>
      <w:r w:rsidRPr="00B83ACC">
        <w:drawing>
          <wp:inline distT="0" distB="0" distL="0" distR="0" wp14:anchorId="44897DAF" wp14:editId="35D5A9C2">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6CE139D4" w14:textId="77777777" w:rsidR="00B83ACC" w:rsidRPr="00B83ACC" w:rsidRDefault="00B83ACC" w:rsidP="00B83ACC">
      <w:r w:rsidRPr="00B83ACC">
        <w:t> </w:t>
      </w:r>
    </w:p>
    <w:p w14:paraId="177459C7" w14:textId="77777777" w:rsidR="00B83ACC" w:rsidRPr="00B83ACC" w:rsidRDefault="00B83ACC" w:rsidP="00B83ACC">
      <w:r w:rsidRPr="00B83ACC">
        <w:br/>
      </w:r>
    </w:p>
    <w:p w14:paraId="65A4E029" w14:textId="77777777" w:rsidR="00B83ACC" w:rsidRPr="00B83ACC" w:rsidRDefault="00B83ACC" w:rsidP="00B83ACC">
      <w:r w:rsidRPr="00B83ACC">
        <w:br/>
      </w:r>
    </w:p>
    <w:p w14:paraId="01387FEE" w14:textId="77777777" w:rsidR="00B83ACC" w:rsidRPr="00B83ACC" w:rsidRDefault="00B83ACC" w:rsidP="00B83ACC">
      <w:r w:rsidRPr="00B83ACC">
        <w:pict w14:anchorId="69A78BFF">
          <v:rect id="_x0000_i1026" style="width:142.55pt;height:.75pt" o:hrpct="330" o:hrstd="t" o:hr="t" fillcolor="#a0a0a0" stroked="f"/>
        </w:pict>
      </w:r>
    </w:p>
    <w:bookmarkStart w:id="4" w:name="_ftn1"/>
    <w:p w14:paraId="6F908AAD" w14:textId="77777777" w:rsidR="00B83ACC" w:rsidRPr="00B83ACC" w:rsidRDefault="00B83ACC" w:rsidP="00B83ACC">
      <w:r w:rsidRPr="00B83ACC">
        <w:fldChar w:fldCharType="begin"/>
      </w:r>
      <w:r w:rsidRPr="00B83ACC">
        <w:instrText xml:space="preserve"> HYPERLINK "" \l "_ftnref1" </w:instrText>
      </w:r>
      <w:r w:rsidRPr="00B83ACC">
        <w:fldChar w:fldCharType="separate"/>
      </w:r>
      <w:r w:rsidRPr="00B83ACC">
        <w:rPr>
          <w:rStyle w:val="Hyperlink"/>
          <w:vertAlign w:val="superscript"/>
        </w:rPr>
        <w:t>[1]</w:t>
      </w:r>
      <w:r w:rsidRPr="00B83ACC">
        <w:fldChar w:fldCharType="end"/>
      </w:r>
      <w:bookmarkEnd w:id="4"/>
      <w:r w:rsidRPr="00B83ACC">
        <w:t xml:space="preserve"> Skatīt likuma “Par nodokļiem un nodevām” 2.panta pirmo daļu</w:t>
      </w:r>
    </w:p>
    <w:bookmarkStart w:id="5" w:name="_ftn2"/>
    <w:p w14:paraId="1724F80D" w14:textId="77777777" w:rsidR="00B83ACC" w:rsidRPr="00B83ACC" w:rsidRDefault="00B83ACC" w:rsidP="00B83ACC">
      <w:r w:rsidRPr="00B83ACC">
        <w:fldChar w:fldCharType="begin"/>
      </w:r>
      <w:r w:rsidRPr="00B83ACC">
        <w:instrText xml:space="preserve"> HYPERLINK "" \l "_ftnref2" </w:instrText>
      </w:r>
      <w:r w:rsidRPr="00B83ACC">
        <w:fldChar w:fldCharType="separate"/>
      </w:r>
      <w:r w:rsidRPr="00B83ACC">
        <w:rPr>
          <w:rStyle w:val="Hyperlink"/>
          <w:vertAlign w:val="superscript"/>
        </w:rPr>
        <w:t>[2]</w:t>
      </w:r>
      <w:r w:rsidRPr="00B83ACC">
        <w:fldChar w:fldCharType="end"/>
      </w:r>
      <w:bookmarkEnd w:id="5"/>
      <w:r w:rsidRPr="00B83ACC">
        <w:t xml:space="preserve"> Skatīt likuma “Par nodokļiem un nodevām” 2.panta otro daļu</w:t>
      </w:r>
    </w:p>
    <w:bookmarkStart w:id="6" w:name="_ftn3"/>
    <w:p w14:paraId="004CCAA4" w14:textId="77777777" w:rsidR="00B83ACC" w:rsidRPr="00B83ACC" w:rsidRDefault="00B83ACC" w:rsidP="00B83ACC">
      <w:r w:rsidRPr="00B83ACC">
        <w:fldChar w:fldCharType="begin"/>
      </w:r>
      <w:r w:rsidRPr="00B83ACC">
        <w:instrText xml:space="preserve"> HYPERLINK "" \l "_ftnref3" </w:instrText>
      </w:r>
      <w:r w:rsidRPr="00B83ACC">
        <w:fldChar w:fldCharType="separate"/>
      </w:r>
      <w:r w:rsidRPr="00B83ACC">
        <w:rPr>
          <w:rStyle w:val="Hyperlink"/>
          <w:vertAlign w:val="superscript"/>
        </w:rPr>
        <w:t>[3]</w:t>
      </w:r>
      <w:r w:rsidRPr="00B83ACC">
        <w:fldChar w:fldCharType="end"/>
      </w:r>
      <w:bookmarkEnd w:id="6"/>
      <w:r w:rsidRPr="00B83ACC">
        <w:t xml:space="preserve"> Skatīt Administratīvā procesa likuma 128.pantu</w:t>
      </w:r>
    </w:p>
    <w:p w14:paraId="714BCAB1"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6367"/>
    <w:multiLevelType w:val="multilevel"/>
    <w:tmpl w:val="6E74F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CC"/>
    <w:rsid w:val="00253694"/>
    <w:rsid w:val="002F00E2"/>
    <w:rsid w:val="00B83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40FD"/>
  <w15:chartTrackingRefBased/>
  <w15:docId w15:val="{D2D67224-76C3-4A4D-8202-43566C27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3ACC"/>
    <w:rPr>
      <w:color w:val="0563C1" w:themeColor="hyperlink"/>
      <w:u w:val="single"/>
    </w:rPr>
  </w:style>
  <w:style w:type="character" w:styleId="UnresolvedMention">
    <w:name w:val="Unresolved Mention"/>
    <w:basedOn w:val="DefaultParagraphFont"/>
    <w:uiPriority w:val="99"/>
    <w:semiHidden/>
    <w:unhideWhenUsed/>
    <w:rsid w:val="00B83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389626">
      <w:bodyDiv w:val="1"/>
      <w:marLeft w:val="0"/>
      <w:marRight w:val="0"/>
      <w:marTop w:val="0"/>
      <w:marBottom w:val="0"/>
      <w:divBdr>
        <w:top w:val="none" w:sz="0" w:space="0" w:color="auto"/>
        <w:left w:val="none" w:sz="0" w:space="0" w:color="auto"/>
        <w:bottom w:val="none" w:sz="0" w:space="0" w:color="auto"/>
        <w:right w:val="none" w:sz="0" w:space="0" w:color="auto"/>
      </w:divBdr>
      <w:divsChild>
        <w:div w:id="1518082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elina.ozola@f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tania.saeima.lv/LIVS12/saeimalivs12.nsf/0/F0B7EDD44A5D8955C225828900471579?OpenDocument" TargetMode="External"/><Relationship Id="rId12" Type="http://schemas.openxmlformats.org/officeDocument/2006/relationships/image" Target="cid:image002.jpg@01D75951.3EFD9C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fm.gov.lv" TargetMode="External"/><Relationship Id="rId11" Type="http://schemas.openxmlformats.org/officeDocument/2006/relationships/image" Target="media/image1.jpeg"/><Relationship Id="rId5" Type="http://schemas.openxmlformats.org/officeDocument/2006/relationships/hyperlink" Target="mailto:inguna.dancite@fm.gov.lv" TargetMode="External"/><Relationship Id="rId10" Type="http://schemas.openxmlformats.org/officeDocument/2006/relationships/hyperlink" Target="pasts@fm.gov.lv" TargetMode="External"/><Relationship Id="rId4" Type="http://schemas.openxmlformats.org/officeDocument/2006/relationships/webSettings" Target="webSettings.xml"/><Relationship Id="rId9" Type="http://schemas.openxmlformats.org/officeDocument/2006/relationships/hyperlink" Target="www.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5531</Words>
  <Characters>3153</Characters>
  <Application>Microsoft Office Word</Application>
  <DocSecurity>0</DocSecurity>
  <Lines>26</Lines>
  <Paragraphs>17</Paragraphs>
  <ScaleCrop>false</ScaleCrop>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Gribule</dc:creator>
  <cp:keywords/>
  <dc:description/>
  <cp:lastModifiedBy>Ilona Gribule</cp:lastModifiedBy>
  <cp:revision>1</cp:revision>
  <dcterms:created xsi:type="dcterms:W3CDTF">2021-06-14T07:29:00Z</dcterms:created>
  <dcterms:modified xsi:type="dcterms:W3CDTF">2021-06-14T07:31:00Z</dcterms:modified>
</cp:coreProperties>
</file>