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saistībā ar projekta 3. punktā paredzēto noteikumu Nr. 635 10. punkta svītrošanu, citastarp, skaidrots: "</w:t>
            </w:r>
            <w:r w:rsidR="00000000" w:rsidRPr="00000000" w:rsidDel="00000000">
              <w:rPr>
                <w:i w:val="1"/>
                <w:rtl w:val="0"/>
              </w:rPr>
              <w:t xml:space="preserve">Šāda iespēja faktiski ierobežo apakšlietotāju tiesības izmantot vairākas atvērta elektroenerģijas tirgus piedāvātās iespējas, piemēram, izvēlēties un mainīt elektroenerģijas tirgotāju, piedalīties pašpatēriņa shēmās u.c.,</w:t>
            </w:r>
            <w:r w:rsidR="00000000" w:rsidRPr="00000000" w:rsidDel="00000000">
              <w:rPr>
                <w:i w:val="1"/>
                <w:u w:val="single"/>
                <w:rtl w:val="0"/>
              </w:rPr>
              <w:t xml:space="preserve"> līdz ar to ir pretrunā Eiropas Savienības </w:t>
            </w:r>
            <w:r w:rsidR="00000000" w:rsidRPr="00000000" w:rsidDel="00000000">
              <w:rPr>
                <w:i w:val="1"/>
                <w:rtl w:val="0"/>
              </w:rPr>
              <w:t xml:space="preserve">un nacionālā līmeņa tiesību aktos ietvertajām elektroenerģijas lietotāju tiesībām</w:t>
            </w:r>
            <w:r w:rsidR="00000000" w:rsidRPr="00000000" w:rsidDel="00000000">
              <w:rPr>
                <w:rtl w:val="0"/>
              </w:rPr>
              <w:t xml:space="preserve">." Saistībā ar minēto aicinām anotācijā konkretizēt Eiropas Savienības tiesību aktu prasības, kurām pretrunā ir noteikumu Nr. 635 10. punktā ietvertais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Grozījumi šo noteikumu </w:t>
            </w:r>
            <w:r w:rsidR="00000000" w:rsidRPr="00000000" w:rsidDel="00000000">
              <w:rPr>
                <w:rtl w:val="0"/>
              </w:rPr>
              <w:t xml:space="preserve">XIII </w:t>
            </w:r>
            <w:r w:rsidR="00000000" w:rsidRPr="00000000" w:rsidDel="00000000">
              <w:rPr>
                <w:rtl w:val="0"/>
              </w:rPr>
              <w:t xml:space="preserve">nodaļā</w:t>
            </w:r>
            <w:r w:rsidR="00000000" w:rsidRPr="00000000" w:rsidDel="00000000">
              <w:rPr>
                <w:rtl w:val="0"/>
              </w:rPr>
              <w:t xml:space="preserve"> stājas spēkā 2025.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36. punktā ietverto Noteikumu 178. punktu, nosakot normas un grozījumus tajās, kuriem jāstājas spēkā 2025. gada 1. janvārī. Vēršam uzmanību uz to, ka Noteikumu XIII nodaļā netiek grozītas visas normas, kā arī konkrētās normas var tikt grozītas vairākkārtīgi, tādējādi, paredzot pārejas regulējumu, ir nepieciešams noteikt konkrētajās normās ietverto grozījumu spēkā stāšanos noteiktajā termiņā, lai personas, uz kurām šīs normas attieksies, zinātu, ar kuru brīdi konkrētais regulējums ir piemērojams.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13.11.2024.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13.11.2024.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Atzinumi_24-TA-801.docx</dc:title>
</cp:coreProperties>
</file>

<file path=docProps/custom.xml><?xml version="1.0" encoding="utf-8"?>
<Properties xmlns="http://schemas.openxmlformats.org/officeDocument/2006/custom-properties" xmlns:vt="http://schemas.openxmlformats.org/officeDocument/2006/docPropsVTypes"/>
</file>