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zemākās darba samaksas likmes pieauguma grafiku laikposmam no 2026. gada 1. janvāra līdz 2030. gada 31. decembrim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pedagogu zemākās darba samaksas likmes pieauguma grafiku laikposmam no 2026. gada 1. janvāra līdz 2030.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Š.g. 4.decembrī Saeimā ir pieņemts likums “Par valsts budžetu 2026.gadam un budžeta ietvaru 2026., 2027. un 2028.gadam”, kura 12. pantā noteikti ietvara maksimāli pieļaujamie valsts budžeta izdevumi 2026. gadā, 2027. gadā un 2028.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Fiskālās disciplīnas likuma 9. panta otrai daļai, ja Ministru kabinets pieņem normatīvo aktu, kas izraisa valsts budžeta likumā noteikto ietvara maksimāli pieļaujamo valsts budžeta izdevumu pārsniegumu, </w:t>
            </w:r>
            <w:r w:rsidR="00000000" w:rsidRPr="00000000" w:rsidDel="00000000">
              <w:rPr>
                <w:b w:val="1"/>
                <w:rtl w:val="0"/>
              </w:rPr>
              <w:t xml:space="preserve">Ministru kabinets nodrošina, ka vienlaikus stājas spēkā arī tāds normatīvais akts vai tādi normatīvie akti, kas kompensē izdevumu pieaugumu.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nepieciešams būtisks papildus valsts budžeta finansējums pedagogu zemākās algas likmes celšanai, ir nepieciešams rast arī papildu izdevumus kompensējošos pasākumus – ieņēmumus palielinošos vai izdevumus samazinošos. Gadījumā, ja normatīvais akts tiek apstiprināts bez kompensējošiem pasākumiem, tad ir konstatējams Fiskālās disciplīnas likuma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atbalstāma tāda rīkojuma projekta tālāka virzība, kura īstenošanai ir nepieciešams papildu finansējums, bet nav sniegta informācija par finanšu avotu, kur tas tiks rasts.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aizpildīt anotācijas 3.sadaļu, jo šobrīd tajā sniegta pretrunīga informācija, sākotnēji norādot, ka projektam nav ietekmes uz budžetu, bet apakšsadaļā “Cita informācija” norādot, ka rīkojuma projekta īstenošanai kopumā nepieciešams papildus gan valsts, gan pašvaldību budžeta finansējums ievērojamā apmērā. Vienlaikus no šobrīd sniegtās informācijas pārskatāmā veidā nav saprotams, kāda ir kopējā projekta ietekme uz budžetu un kādā apmērā attiecīgais finansējums jau šobrīd ir plānots Izglītības un zinātnes ministrijas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Atzinumi_25-TA-2747.docx</dc:title>
</cp:coreProperties>
</file>

<file path=docProps/custom.xml><?xml version="1.0" encoding="utf-8"?>
<Properties xmlns="http://schemas.openxmlformats.org/officeDocument/2006/custom-properties" xmlns:vt="http://schemas.openxmlformats.org/officeDocument/2006/docPropsVTypes"/>
</file>