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24-TA-1030: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un sadarbības partneru (ja attiecināms) projekta vadības un īstenošanas personāla izmaksas, kas radušās uz darba līguma vai uzņēmuma līguma pamata, tai skaitā normatīvajos aktos nodarbinātības jomā noteiktās piemaksas un nodokļi: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iespējas projekta vadības un īstenošanas personāla atlīdzības izmaksām piemērot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1.punktā noteikto iespēju, tas ir,  izmantot līdz 20% vienoto likmi, ņemot vērā, ka tas samazinās administratīvo slogu visiem iesaistītajiem. Gadījumā, ja vienotās likmes piemērošana nav iespējama, lūdzam piemērot citu vienkāršoto izmaksu veidu, attiecīgi izstrādājot metodiku un saskaņojot to ar vadošo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Sadarbības iestāde, ja tai ir pieejami valsts budžeta līdzekļi, pēc plānotā avansa apmēra un tā pamatojuma izvērtēšanas, pamatojoties uz finansējuma saņēmēja rakstisku avansa pieprasījumu, var piešķirt finansējuma saņēmējam avansu pēc tam, kad ir noslēgts līgums par projekta īstenošanu. Finansējuma saņēmējs avansa pieprasījumu sagatavo un sadarbības iestāde to apstiprina, ņemot vērā nosacījumu, ka plānotā avansa apmērs atbilst spējai to izlietot sešu mēnešu laikā saimnieciskā gada ietvaros. Finansējuma saņēmējam avansu var piešķirt līdz 30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25. aprīļa noteikumu Nr. 205 "Valsts budžeta līdzekļu plānošanas kārtība Eiropas Savienības fondu projektu īstenošanai un maksājumu veikšanai 2021.–2027. gada plānošanas periodā" 10. punkts paredz, ka avansa apmērs nepārsniedz 30 % no projektam piešķirtā Eiropas Savienības fonda finansējuma un, ja tas ir paredzēts projektā, </w:t>
            </w:r>
            <w:r w:rsidR="00000000" w:rsidRPr="00000000" w:rsidDel="00000000">
              <w:rPr>
                <w:u w:val="single"/>
                <w:rtl w:val="0"/>
              </w:rPr>
              <w:t xml:space="preserve">valsts budžeta līdzfinansējuma kopsummas</w:t>
            </w:r>
            <w:r w:rsidR="00000000" w:rsidRPr="00000000" w:rsidDel="00000000">
              <w:rPr>
                <w:rtl w:val="0"/>
              </w:rPr>
              <w:t xml:space="preserve">. Ņemot vērā, ka noteikumu projekts paredz arī valsts budžeta līdzfinansējumu, lūdzam atbilstoši papildināt noteikumu projekta 47. punktu.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iebildumu par vienkāršoto izmaksu izstrādes iespējām personāla izmaksām, lūdzam papildināt anotāciju ar informāciju, ka projekta īstenošanas laikā, kad būs uzkrāti pietiekami daudz datu par projekta darbību izmaksām, Veselības ministrija atkārtoti izvērtēs iespējas vienkāršoto izmaksu piemērošanai šai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Pasākums veicina 4.1.1.1. pasākuma “Ārstniecības iestāžu infrastruktūras attīstība” visu kārtu ietvaros kopējā iznākuma rādītāja "jaunu vai modernizētu veselības aprūpes iestāžu kapacitāte” sasniegšanu, nodrošinot, ka līdz 2029. gada 31. decembrim izveidotās vai uzlabotās veselības aprūpes iestādes vismaz vienu reizi gada laikā apmeklēs 3 687 497 iedzīvotāji, tai skaitā pasākuma ietvaros – 199 794 personas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 punktā, ka trešās kārtas ietvaros uzlabotās veselības aprūpes iestādes vismaz vienu reizi gada laikā apmeklēs 199 794 personas gadā, ņemot vērā, ka 4.1.1.1.pasākuma ietvaros tās būs 3 687 497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attiecināmais Eiropas Reģionālās attīstības fonda finansējums nepārsniedz 85 procentus, nacionālais līdzfinansējums, kas iekļauj valsts budžeta un privāto līdzfinansējumu, ir ne mazāks par 15 procentiem no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pasākumam pieejamā kopējā finansējuma. Attiecināmais nacionālais privātais finansējuma saņēmēja un sadarbības partneru līdzfinansējums tiek noteikts saskaņā ar šo noteikumu </w:t>
            </w:r>
            <w:r w:rsidR="00000000" w:rsidRPr="00000000" w:rsidDel="00000000">
              <w:rPr>
                <w:rtl w:val="0"/>
              </w:rPr>
              <w:t xml:space="preserve">41.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12.punktu, nosakot, ka valsts budžeta finansējuma apmērs nedrīkst pārsniegt 15 procentus no pasākumam pieejamā kopējā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Sadarbības partneris iesaistās projekta īstenošanā ar saviem resursiem, tai skaitā ar tā īpašumā, valdījumā, turējumā vai lietojumā esošo nekustamo īpašumu, kā arī nodrošina pārskatu un citas informācijas iesniegšanu atbilstoši sadarbības līgumā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26.punktu, ja nepieciešams iekļaujot šo informāciju anotācijā, lai nedublētu Ministru kabineta 2023. gada 13. jūlija noteikumos Nr. 408 "Kārtība, kādā Eiropas Savienības fondu vadībā iesaistītās institūcijas nodrošina šo fondu ieviešanu 2021.–2027. gada plānošanas periodā"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minētās atbalstāmās darbības ietvaros ir attiecināmas finansējuma saņēmēja un sadarbības partneru (ja attiecināms) projekta vadības un īstenošanas personāla izmaksas, kas radušās uz darba līguma vai uzņēmuma līguma pamata, tai skaitā normatīvajos aktos nodarbinātības jomā noteiktās piemaksas un nodokļi: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pēc nepieciešamības dzēst informāciju par projekta īstenošanas personālu, jo projekta īstenošanā tiek iesaistīts tikai projekta vadības personāls. Saskaņot informāciju arī MK noteikumu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Visikovska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izmaksu apmērs nepārsniedz 84 787 </w:t>
            </w:r>
            <w:r w:rsidR="00000000" w:rsidRPr="00000000" w:rsidDel="00000000">
              <w:rPr>
                <w:i w:val="1"/>
                <w:rtl w:val="0"/>
              </w:rPr>
              <w:t xml:space="preserve">euro</w:t>
            </w:r>
            <w:r w:rsidR="00000000" w:rsidRPr="00000000" w:rsidDel="00000000">
              <w:rPr>
                <w:rtl w:val="0"/>
              </w:rPr>
              <w:t xml:space="preserve">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personāla izmaksas plānots projektā segt kā faktiskās izmaksas, aicinām precizēt redakciju atbilstoši attiecināmības vadlīnijām "Vadlīnijas attiecināmo izmaksu noteikšanai Eiropas Savienības kohēzijas politikas programmas 2021.-2027. gada plānošanas periodā", kas paredz, ka "projektiem ar tiešām attiecināmām izmaksām virs 5 milj. EUR, jāparedz maksimālais ierobežojums ES fondu daļai tiešajām projekta vadības personāla izmaksām līdz 84 787 EUR kalendārajā gadā". Lūdzam veikt precizējumus gan noteikumu projektā, gan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31.1.tiešās projekta vadības personāla izmaksas Eiropas Reģionālās attīstības fonda daļai nepārsniedz 84 787 EUR kalendārajā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Pasākuma īstenošanas un finansējuma saņemšanas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finansējuma saņēmējs projektu plānošanai un īstenošanas kontrolei izveido vadības un kontroles komisiju un reizi ceturksnī organizē pārskata sanāksmes par projektu progresu, uz kurām uzaicina atbildīgās iestādes un sadarbības iestādes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Lauva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atbilstoši Regulas Nr. 2021/1060 9. panta 4. punktam un Eiropas Parlamenta un Padomes 2020. gada 18. jūnija Regulas (ES) 2020/852 par regulējuma izveidi ilgtspējīgu ieguldījumu veicināšanai un ar kuru groza Regulu (ES) 2019/2088, 17. pantam nodrošina, ka tiek ievēroti šādi principa "Nenodarīt būtisku kaitējumu" vides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svītrojams noteikumu projekta 46.7. apakšpunkts, par principa "Nenodarīt būtisku kaitējumu" vides mērķu ievērošanu, ņemot vērā, ka principa “Nenodarīt būtisku kaitējumu” novērtējums tiešā veidā neattiecas uz 4.1.1.1.pasākuma 3.kārtā atbalstāmajām darbībām, un Veselības ministrija nav plānojusi noteikt nosacījumus, kas pārsniedz nacionālajā horizontālajā regulējumā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lūdzam atstāt anotācijā aprakstu, par principa “Nenodarīt būtisku kaitējumu”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 nodrošina, ka iepirkumus, kuri nepieciešami atbalstāmo darbību īstenošanai, finansējuma saņēmējs veic atklātā, pārredzamā, nediskriminējošā un konkurenci nodrošinošā, sociāli atbildīgā veidā, kā arī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 nav plānojusi noteikt nosacījumus, kas pārsniedz nacionālajā horizontālajā regulējumā noteikto prasību ievērošanu attiecībā uz zaļo publisko iepirkumu, lūdzam izvērtēt, vai noteikumu projekta 46.9. apakšpunktā nav jāsvītro teksts, par zaļo publisko iepirkumu, atstājot tikai aprakstu anotācijā, ka zaļais publiskais iepirkums tiks piemērots atbilstoši nacionālajai horizontālajam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Eiropas Savienības stratēģijas Baltijas jūras reģionam (ESSBJR) intervences kodu, t.i., ka investīcijām piemērojams Makroreģionālā un jūras baseinu stratēģija kods 03 - Baltijas jūras reģiona stratēģija.a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informācija par sinerģiju, papildinātību ar ES un citiem atbalsta instrumentiem, piemēram, Atveseļošanas un noturības mehānisma investīcijām, vai citiem ES kohēzijas politikas programmas 2021. – 2027. gadam SAM vai pasākumiem, minot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pie principa “Nenodarīt būtisku kaitējumu”, ka Veselības ministrija nav plānojusi noteikt nosacījumus, kas pārsniedz nacionālajā horizontālajā regulējumā noteikto prasību ievērošanu attiecībā uz zaļo publisko iepirkumu.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"Pašreizējā situācija, problēmas un risinājumi" informāciju, ka projekta iesniegumā neiekļauj un finansējumu nepiešķir darbībām, kas pabeigtas pirms projekta iesnieguma iesniegšanas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24-TA-1030</w:t>
    </w:r>
    <w:r>
      <w:br/>
    </w:r>
    <w:r w:rsidR="00000000" w:rsidRPr="00000000" w:rsidDel="00000000">
      <w:rPr>
        <w:rtl w:val="0"/>
      </w:rPr>
      <w:t xml:space="preserve">Izdrukāts 14.05.2024.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24-TA-1030</w:t>
    </w:r>
    <w:r>
      <w:br/>
    </w:r>
    <w:r w:rsidR="00000000" w:rsidRPr="00000000" w:rsidDel="00000000">
      <w:rPr>
        <w:rtl w:val="0"/>
      </w:rPr>
      <w:t xml:space="preserve">Izdrukāts 14.05.2024.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Atzinumi_24-TA-1030.docx</dc:title>
</cp:coreProperties>
</file>

<file path=docProps/custom.xml><?xml version="1.0" encoding="utf-8"?>
<Properties xmlns="http://schemas.openxmlformats.org/officeDocument/2006/custom-properties" xmlns:vt="http://schemas.openxmlformats.org/officeDocument/2006/docPropsVTypes"/>
</file>