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 Instrukcija par informatīvu luminiscējošu zīmju “Patvertne” izvietošanas un vizuālā noformējuma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(1.pielikums_Ministrijas un pašvaldības, kurām kompensē izdevumus no LNG)</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(vai to iestādēm) normatīvajos aktos noteiktajā kārtībā sagatavot un iesniegt pieprasījumu Finanšu ministrijā par šā rīkojuma 1.punktā minēto līdzekļu piešķiršanu no valsts budžeta programmas 02.00.00 “Līdzekļi neparedzētiem gadījumiem” atbilstoši nepieciešamajam finansējuma apmēram, nepārsniedzot šā rīkojuma 1.pielikumā noteikto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Kultūras ministriju no šā rīkojuma projekta 1. pielikumā minēto institūciju saraksta. Vienlaicīgi lūdzam   Kultūras ministrijai atsūtīt informāciju pie kurām Kultūras ministrijas padotības un pārraudzības iestādēm jāizvieto minētās zīmes.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09.09.2024.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09.09.2024.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Atzinumi_24-TA-2126.docx</dc:title>
</cp:coreProperties>
</file>

<file path=docProps/custom.xml><?xml version="1.0" encoding="utf-8"?>
<Properties xmlns="http://schemas.openxmlformats.org/officeDocument/2006/custom-properties" xmlns:vt="http://schemas.openxmlformats.org/officeDocument/2006/docPropsVTypes"/>
</file>