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izveidi un uzturēšanu un apgrūtināto teritoriju un nekustamā īpašuma objekta apgrūtinājumu klasifikatoru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apstiprina šādus klasifikatorus: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2.2. un 2.2.un 2.3. punktus apvienot, kā arī apvienot  1.un 2.un 3.pielikumu, kā 1.pielikumu. kā arī svītrot atsauces "kuru noteikšanai tiek vai netiek izmantoti Informācijas sistēmas dati". Neviens apgrūtinājuma noteikšanu nenosaka tā atrašanās Informācijas sistēmā, tā noteikšanu nosaka normatīvie akti, sistēmā tikai vienkopus reģistrē visus noteiktos apgrūtinājumus, neatkarīgi no to noteikšanas kārtības. Nepiekrītam izziņā pasutajam iebilduma noraidījumam. Ja valstī tiek izveidota Apgrūtināto teritoriju informācijas sistēma, tad vienuviet ir jāatspoguļo VISI apgrūtinājumi, nevis jāatrakstās, ka citi apgrūtinājumi tiek reģsitrēti citās informācijas sistēmās, vai vēl kādi citi iemesli, kas pēc būtības raksturo iestāžu vēlmi nevis nodrošināt visiem saprotamus pakalpojumus, bet prezumē iestādes pastāvēšanu kā virsmērķi.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noteiktos nekustamā īpašuma objekta apgrūtinājumus neuzkrāj Informācijas sistēmā. Tos reģistrē vai aktualizē Nekustamā īpašuma valsts kadastra informācijas sistēmā (turpmāk – Kadastra informācijas sistēma) atbilstoši normatīvajiem aktiem kadastra objekta reģistrācijas un datu aktualizācijas jomā, bet pieprasa un izsniedz atbilstoši normatīvajiem aktiem kadastra informācijas pieprasīšanas un izsniegšanas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noteikt, ka ēku servitūta teritorija; ūdens lietošanas servitūta teritorija; ceļa servitūta teritorija kā apgrūtinājumi netiks uzkrāti Informācijas sistēmā! Tā kā šos apgrūtinājumus reģistrē Nekustamā īpašuma valsts kadastra informācijas sistēmā, tad no Kadastra tie ir jāpārņem arī uz Apgrūtināto teritoriju informācijas sistēmu, lai nodrošinātu, ka visi fiziskie apgrūtinājumi tiek attēloti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nepieņemami, ka apgrūtinājumu, kas reģistrēti citu institūciju sistēmās, nevis Valsts zemes dienesta, ir jāreģistrē Apgrūtināto teritoriju informācijas sistēmā, kuru uztur VZD, bet pats VZD nevēlas vienas savas sistēmas datus nodot otrai, lai nodrošinātu, ka visi apgrūtinājumi, kas attiecas uz konkrētu zemi ir savietoti un gan apskatāmi, gan lietojami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noteiktos nekustamā īpašuma objekta apgrūtinājumus </w:t>
            </w:r>
            <w:r w:rsidR="00000000" w:rsidRPr="00000000" w:rsidDel="00000000">
              <w:rPr>
                <w:strike w:val="1"/>
                <w:rtl w:val="0"/>
              </w:rPr>
              <w:t xml:space="preserve">ne</w:t>
            </w:r>
            <w:r w:rsidR="00000000" w:rsidRPr="00000000" w:rsidDel="00000000">
              <w:rPr>
                <w:rtl w:val="0"/>
              </w:rPr>
              <w:t xml:space="preserve">uzkrāj Informācijas sistēmā, </w:t>
            </w:r>
            <w:r w:rsidR="00000000" w:rsidRPr="00000000" w:rsidDel="00000000">
              <w:rPr>
                <w:b w:val="1"/>
                <w:u w:val="single"/>
                <w:rtl w:val="0"/>
              </w:rPr>
              <w:t xml:space="preserve">pārņemot no Nekustamā īpašuma valsts kadastra informācijas sistēmas..</w:t>
            </w:r>
            <w:r w:rsidR="00000000" w:rsidRPr="00000000" w:rsidDel="00000000">
              <w:rPr>
                <w:rtl w:val="0"/>
              </w:rPr>
              <w:t xml:space="preserve"> Tos reģistrē vai aktualizē Nekustamā īpašuma valsts kadastra informācijas sistēmā (turpmāk – Kadastra informācijas sistēma) atbilstoši normatīvajiem aktiem kadastra objekta reģistrācijas un datu aktualizācijas jomā, bet pieprasa un izsniedz </w:t>
            </w:r>
            <w:r w:rsidR="00000000" w:rsidRPr="00000000" w:rsidDel="00000000">
              <w:rPr>
                <w:b w:val="1"/>
                <w:u w:val="single"/>
                <w:rtl w:val="0"/>
              </w:rPr>
              <w:t xml:space="preserve">gan </w:t>
            </w:r>
            <w:r w:rsidR="00000000" w:rsidRPr="00000000" w:rsidDel="00000000">
              <w:rPr>
                <w:rtl w:val="0"/>
              </w:rPr>
              <w:t xml:space="preserve">atbilstoši normatīvajiem aktiem kadastra informācijas pieprasīšanas un izsniegšanas jomā,</w:t>
            </w:r>
            <w:r w:rsidR="00000000" w:rsidRPr="00000000" w:rsidDel="00000000">
              <w:rPr>
                <w:b w:val="1"/>
                <w:u w:val="single"/>
                <w:rtl w:val="0"/>
              </w:rPr>
              <w:t xml:space="preserve"> gan no Informācijas sistēmas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objekta nosaukums, ja tāds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izslēgt adreses apgrūtinājumiem/objektiem, kam tādas ir Adrešu reģistrā, kā arī kadastra apzīmējumu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objekta nosaukums, ja tāds ir, </w:t>
            </w:r>
            <w:r w:rsidR="00000000" w:rsidRPr="00000000" w:rsidDel="00000000">
              <w:rPr>
                <w:b w:val="1"/>
                <w:rtl w:val="0"/>
              </w:rPr>
              <w:t xml:space="preserve">kā arī objekta adrese, ja tāda ir Adrešu reģistrā, to pārņemot automatizēti no Adrešu reģistra</w:t>
            </w:r>
            <w:r w:rsidR="00000000" w:rsidRPr="00000000" w:rsidDel="00000000">
              <w:rPr>
                <w:rtl w:val="0"/>
              </w:rPr>
              <w:t xml:space="preserve">; </w:t>
            </w:r>
            <w:r w:rsidR="00000000" w:rsidRPr="00000000" w:rsidDel="00000000">
              <w:rPr>
                <w:b w:val="1"/>
                <w:rtl w:val="0"/>
              </w:rPr>
              <w:t xml:space="preserve">tāpat tiek uzturēts objekta kadastra apzīmējums, ja tāds ir Kadastra reģistrā, vai objekta atrašanās vietas kadastra objektā kadastra apzīmējums, to pārņemot automatizēti no Kadastra reģitra.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kods atbilstoši šo noteikumu </w:t>
            </w:r>
            <w:r w:rsidR="00000000" w:rsidRPr="00000000" w:rsidDel="00000000">
              <w:rPr>
                <w:rtl w:val="0"/>
              </w:rPr>
              <w:t xml:space="preserve">2.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sistēmā jāatspoguļo visi apgrūtinājumi, ne tikai 2.pielikuma, bet arī 1.un 3. pielikuma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kods atbilstoši šo noteikumu </w:t>
            </w:r>
            <w:r w:rsidR="00000000" w:rsidRPr="00000000" w:rsidDel="00000000">
              <w:rPr>
                <w:b w:val="1"/>
                <w:rtl w:val="0"/>
              </w:rPr>
              <w:t xml:space="preserve">1</w:t>
            </w:r>
            <w:r w:rsidR="00000000" w:rsidRPr="00000000" w:rsidDel="00000000">
              <w:rPr>
                <w:rtl w:val="0"/>
              </w:rPr>
              <w:t xml:space="preserve">. </w:t>
            </w:r>
            <w:r w:rsidR="00000000" w:rsidRPr="00000000" w:rsidDel="00000000">
              <w:rPr>
                <w:rtl w:val="0"/>
              </w:rPr>
              <w:t xml:space="preserve">2. </w:t>
            </w:r>
            <w:r w:rsidR="00000000" w:rsidRPr="00000000" w:rsidDel="00000000">
              <w:rPr>
                <w:b w:val="1"/>
                <w:rtl w:val="0"/>
              </w:rPr>
              <w:t xml:space="preserve">un 3</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apgrūtinātās teritorijas robežas atbilstoši šo noteikumu </w:t>
            </w:r>
            <w:r w:rsidR="00000000" w:rsidRPr="00000000" w:rsidDel="00000000">
              <w:rPr>
                <w:rtl w:val="0"/>
              </w:rPr>
              <w:t xml:space="preserve">2. 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sistēmā jāatspoguļo visi apgrūtinājumi, ne tikai 2.pielikuma, bet arī 1.un 3. pielikuma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apgrūtinātās teritorijas robežas atbilstoši šo noteikumu</w:t>
            </w:r>
            <w:r w:rsidR="00000000" w:rsidRPr="00000000" w:rsidDel="00000000">
              <w:rPr>
                <w:b w:val="1"/>
                <w:rtl w:val="0"/>
              </w:rPr>
              <w:t xml:space="preserve"> 1</w:t>
            </w:r>
            <w:r w:rsidR="00000000" w:rsidRPr="00000000" w:rsidDel="00000000">
              <w:rPr>
                <w:rtl w:val="0"/>
              </w:rPr>
              <w:t xml:space="preserve">., </w:t>
            </w:r>
            <w:r w:rsidR="00000000" w:rsidRPr="00000000" w:rsidDel="00000000">
              <w:rPr>
                <w:rtl w:val="0"/>
              </w:rPr>
              <w:t xml:space="preserve">2. </w:t>
            </w:r>
            <w:r w:rsidR="00000000" w:rsidRPr="00000000" w:rsidDel="00000000">
              <w:rPr>
                <w:b w:val="1"/>
                <w:rtl w:val="0"/>
              </w:rPr>
              <w:t xml:space="preserve">un 3</w:t>
            </w:r>
            <w:r w:rsidR="00000000" w:rsidRPr="00000000" w:rsidDel="00000000">
              <w:rPr>
                <w:rtl w:val="0"/>
              </w:rPr>
              <w:t xml:space="preserve">. 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Reģistrējot vai aktualizējot datus, Informācijas sistēmas pārzinis pārbauda iesniegto datu struktūras atbilstību līgumam, kā arī šo noteikumu </w:t>
            </w:r>
            <w:r w:rsidR="00000000" w:rsidRPr="00000000" w:rsidDel="00000000">
              <w:rPr>
                <w:rtl w:val="0"/>
              </w:rPr>
              <w:t xml:space="preserve">35. </w:t>
            </w:r>
            <w:r w:rsidR="00000000" w:rsidRPr="00000000" w:rsidDel="00000000">
              <w:rPr>
                <w:rtl w:val="0"/>
              </w:rPr>
              <w:t xml:space="preserve">punkta</w:t>
            </w:r>
            <w:r w:rsidR="00000000" w:rsidRPr="00000000" w:rsidDel="00000000">
              <w:rPr>
                <w:rtl w:val="0"/>
              </w:rPr>
              <w:t xml:space="preserve"> un </w:t>
            </w:r>
            <w:r w:rsidR="00000000" w:rsidRPr="00000000" w:rsidDel="00000000">
              <w:rPr>
                <w:rtl w:val="0"/>
              </w:rPr>
              <w:t xml:space="preserve">1.</w:t>
            </w:r>
            <w:r w:rsidR="00000000" w:rsidRPr="00000000" w:rsidDel="00000000">
              <w:rPr>
                <w:rtl w:val="0"/>
              </w:rPr>
              <w:t xml:space="preserve"> un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pielikuma</w:t>
            </w:r>
            <w:r w:rsidR="00000000" w:rsidRPr="00000000" w:rsidDel="00000000">
              <w:rPr>
                <w:rtl w:val="0"/>
              </w:rPr>
              <w:t xml:space="preserve">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Reģistrējot vai aktualizējot datus, Informācijas sistēmas pārzinis pārbauda iesniegto datu struktūras atbilstību līgumam, kā arī šo noteikumu </w:t>
            </w:r>
            <w:r w:rsidR="00000000" w:rsidRPr="00000000" w:rsidDel="00000000">
              <w:rPr>
                <w:rtl w:val="0"/>
              </w:rPr>
              <w:t xml:space="preserve">35. </w:t>
            </w:r>
            <w:r w:rsidR="00000000" w:rsidRPr="00000000" w:rsidDel="00000000">
              <w:rPr>
                <w:rtl w:val="0"/>
              </w:rPr>
              <w:t xml:space="preserve">punkta</w:t>
            </w:r>
            <w:r w:rsidR="00000000" w:rsidRPr="00000000" w:rsidDel="00000000">
              <w:rPr>
                <w:rtl w:val="0"/>
              </w:rPr>
              <w:t xml:space="preserve"> un </w:t>
            </w:r>
            <w:r w:rsidR="00000000" w:rsidRPr="00000000" w:rsidDel="00000000">
              <w:rPr>
                <w:rtl w:val="0"/>
              </w:rPr>
              <w:t xml:space="preserve">1.</w:t>
            </w:r>
            <w:r w:rsidR="00000000" w:rsidRPr="00000000" w:rsidDel="00000000">
              <w:rPr>
                <w:rtl w:val="0"/>
              </w:rPr>
              <w:t xml:space="preserve"> un </w:t>
            </w:r>
            <w:r w:rsidR="00000000" w:rsidRPr="00000000" w:rsidDel="00000000">
              <w:rPr>
                <w:rtl w:val="0"/>
              </w:rPr>
              <w:t xml:space="preserve">2 </w:t>
            </w:r>
            <w:r w:rsidR="00000000" w:rsidRPr="00000000" w:rsidDel="00000000">
              <w:rPr>
                <w:b w:val="1"/>
                <w:rtl w:val="0"/>
              </w:rPr>
              <w:t xml:space="preserve">un 3..</w:t>
            </w:r>
            <w:r w:rsidR="00000000" w:rsidRPr="00000000" w:rsidDel="00000000">
              <w:rPr>
                <w:rtl w:val="0"/>
              </w:rPr>
              <w:t xml:space="preserve"> </w:t>
            </w:r>
            <w:r w:rsidR="00000000" w:rsidRPr="00000000" w:rsidDel="00000000">
              <w:rPr>
                <w:rtl w:val="0"/>
              </w:rPr>
              <w:t xml:space="preserve">pielikuma</w:t>
            </w:r>
            <w:r w:rsidR="00000000" w:rsidRPr="00000000" w:rsidDel="00000000">
              <w:rPr>
                <w:rtl w:val="0"/>
              </w:rPr>
              <w:t xml:space="preserve">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Informācijas sistēmas datus identificēta persona pieprasa valsts pārvaldes pakalpojumu portāla Latvija.lv Pakalpojumu katalogā ievietotajā informācijā par Informācijas sistēmas pārziņa sniegtajiem pakalpojumiem (turpmāk – pakalpojuma apraksts) noteiktajā veidā, iesniedzot informācijas pieprasījumu, ja tā iesniegšana ir nepieciešama atbilstoši pakalpojuma aprakstam. Ja informācijas pieprasījumu iesniedz, izmantojot tiešsaistes formu, pieprasītāju identificē, lietojot tajā pieejamos elektroniskās identifikācijas līdzekļus. Šādi iesniegtu informācijas, tai skaitā ierobežotas pieejamības informācijas, pieprasījumu var neparakstīt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izziņā paustajam skaidrojumam par iepriekš izteikto iebildumu par šo punktu. Tomēr visām publiskās pārvaldes iestādēm, ne tikai VZD, nākas tērēt papildus resursus, lai elektroniski identificētu publiskās pārvaldes iestādes pārstāvēt tiesīgās un informācijas apmaiņā iesaistītās personas, jo vienotais autentifikācijas modulis portālā www.latvija.lv šobrīd nepieļauj identificēt valsts institūciju pārstāvjus, bet tikai komersantu pārstāvjus un fiziskās personas viņu privātās dzīves jomā, bet ne kā valsts iestāžu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risinājuma ieviešana, samazinās ne tikai VZD izdevumus, uzturot un apstrādājot publiskās pārvaldes iestāžu pārstāvju deleģējumus pārstāvēt attiecīgo iestādi, bet samazinās visas publiskās pārvaldes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MK protokoluzdevumu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veikt nepieciešamās darbības, lai vienotajā autentifikācijas modulī portālā www.latvija.lv varētu identificēt publiskās institūciju pārstāvjus, kas var dažādos elektroniskās saziņas un datu apmaiņas starp publisko pārvaldi, veikt darbības institūcijas vārdā.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Informācijas sistēmas pārzinis nodrošina identificētai personai bez maksas piekļuvi vispārpieejamajiem Informācijas sistēmas datiem, tai skaitā Ātrdarbīga elektronisko sakaru tīkla likuma </w:t>
            </w:r>
            <w:r w:rsidR="00000000" w:rsidRPr="00000000" w:rsidDel="00000000">
              <w:rPr>
                <w:rtl w:val="0"/>
              </w:rPr>
              <w:t xml:space="preserve">4. panta</w:t>
            </w:r>
            <w:r w:rsidR="00000000" w:rsidRPr="00000000" w:rsidDel="00000000">
              <w:rPr>
                <w:rtl w:val="0"/>
              </w:rPr>
              <w:t xml:space="preserve"> pirmajā daļā noteiktajiem Informācijas sistēmas datiem par tīkla operatora fizisko infrastruktūru un tās aizsargjoslām, izmantojot Web Map Service tīmekļa pakalpi.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tomēr  anotācijā precīzi norādīt kādi dati, ar kādām fona kartēm un kādā veidā būs aplūkojami jebkurai identificētai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Iesniedzamo datu apjoms, formāts, precizitāte, specifikācija un klasificēšana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no iesniedzamajiem datiem jau atrodas valsts informācijas sistēmās, tāpēc uzskatām, ka iesniedzamajai informācijai būtu jābūt tikai tādai, kas nav uzkrāta kādā no valsts IS, kas nozīmē, ka iesniedzot datus par objektu, visa informācija par izvēlēto objektu automātiski "ielasītos" no valsts IS un iesniedzējam būtu jāsniedz tikai iztrūkstošā informācija. Izziņā ir pausta atrakstīšanās, nevis patiesa vēlme nodrošināt automatizētu valsts informāciju sistēmās esošu datu apriti.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kodu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kodu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b w:val="1"/>
                <w:rtl w:val="0"/>
              </w:rPr>
              <w:t xml:space="preserve"> 2.un 3.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objekta robežas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objekta robežas atbilstoši šo noteikumu </w:t>
            </w:r>
            <w:r w:rsidR="00000000" w:rsidRPr="00000000" w:rsidDel="00000000">
              <w:rPr>
                <w:rtl w:val="0"/>
              </w:rPr>
              <w:t xml:space="preserve">1.</w:t>
            </w:r>
            <w:r w:rsidR="00000000" w:rsidRPr="00000000" w:rsidDel="00000000">
              <w:rPr>
                <w:rtl w:val="0"/>
              </w:rPr>
              <w:t xml:space="preserve"> ,</w:t>
            </w:r>
            <w:r w:rsidR="00000000" w:rsidRPr="00000000" w:rsidDel="00000000">
              <w:rPr>
                <w:b w:val="1"/>
                <w:rtl w:val="0"/>
              </w:rPr>
              <w:t xml:space="preserve"> 2.un 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minētajam elementa tipam un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Informācijas sistēmas nodrošinātajā tīmekļa pārlūkprogrammā, lai attēlotu ģeotelpiskās informācijas pamatdatus izvēlētajā atrašanās vietā, datu sniedzējs var izmantot šādus kartogrāfiskos materiālus: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kartogrāfiskie materiāli ir obligāti nodrošināmi, lai apgrūtināto teritoriju informācijas sistēmas dati būtu automātiski skatāmi kopā ar pārējiem kartogrāfiskajiem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sistēmas nodrošinātajā tīmekļa pārlūkprogrammā </w:t>
            </w:r>
            <w:r w:rsidR="00000000" w:rsidRPr="00000000" w:rsidDel="00000000">
              <w:rPr>
                <w:b w:val="1"/>
                <w:u w:val="single"/>
                <w:rtl w:val="0"/>
              </w:rPr>
              <w:t xml:space="preserve">izmanto vismaz zemāk minētos kartogrāfiskos materiālu</w:t>
            </w:r>
            <w:r w:rsidR="00000000" w:rsidRPr="00000000" w:rsidDel="00000000">
              <w:rPr>
                <w:rtl w:val="0"/>
              </w:rPr>
              <w:t xml:space="preserve">s, lai attēlotu ģeotelpiskās informācijas pamatdatus izvēlētajā atrašanās vietā, </w:t>
            </w:r>
            <w:r w:rsidR="00000000" w:rsidRPr="00000000" w:rsidDel="00000000">
              <w:rPr>
                <w:b w:val="1"/>
                <w:u w:val="single"/>
                <w:rtl w:val="0"/>
              </w:rPr>
              <w:t xml:space="preserve">savukārt</w:t>
            </w:r>
            <w:r w:rsidR="00000000" w:rsidRPr="00000000" w:rsidDel="00000000">
              <w:rPr>
                <w:rtl w:val="0"/>
              </w:rPr>
              <w:t xml:space="preserve"> datu sniedzējs var izmantot  </w:t>
            </w:r>
            <w:r w:rsidR="00000000" w:rsidRPr="00000000" w:rsidDel="00000000">
              <w:rPr>
                <w:u w:val="single"/>
                <w:rtl w:val="0"/>
              </w:rPr>
              <w:t xml:space="preserve">zemāk minētos kartogrāfiskos materiālus </w:t>
            </w:r>
            <w:r w:rsidR="00000000" w:rsidRPr="00000000" w:rsidDel="00000000">
              <w:rPr>
                <w:strike w:val="1"/>
                <w:rtl w:val="0"/>
              </w:rPr>
              <w:t xml:space="preserve">šādus</w:t>
            </w:r>
            <w:r w:rsidR="00000000" w:rsidRPr="00000000" w:rsidDel="00000000">
              <w:rPr>
                <w:rtl w:val="0"/>
              </w:rPr>
              <w:t xml:space="preserve"> kartogrāfiskos materiālus: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Ģeotelpisko pamatdatu informācijas sistēmas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lūidzam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Ģeotelpisko pamatdatu informācijas sistēmas datus, </w:t>
            </w:r>
            <w:r w:rsidR="00000000" w:rsidRPr="00000000" w:rsidDel="00000000">
              <w:rPr>
                <w:b w:val="1"/>
                <w:u w:val="single"/>
                <w:rtl w:val="0"/>
              </w:rPr>
              <w:t xml:space="preserve">t.sk. jaunākos pieejamos Latvijas ģeotelpiskās informācijas aģentūras aerofotografēšanas datus ar augstāko izšķirtspēju;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Ne vēlāk kā sešu mēnešu laikā no šo noteikumu spēkā stāšanās Kadastra informācijas sistēmā dzēš nekustamā īpašuma objekta apgrūtinājumu 7316020100 – zemes īpašniekam nepiederoša būve vai būves daļa,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7312081200 – ekspluatācijas aizsargjoslas teritorija ap sašķidrinātās ogļūdeņražu gāzes balonu noliktavu un tirdzniecības punktu un 7312010500 – ekspluatācijas aizsargjoslas teritorija ap ūdenstorni.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tiek paredzēts, ka vienkārši tiek paredzēts, ka  Kadastra informācijas sistēmā dzēš nekustamā īpašuma objekta apgrūtinājumu 7316020100 – zemes īpašniekam nepiederoša būve vai būves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šī informācija ir tikusi un tiek izmantota, tad šāda apgrūtinājuma dzēšana var būt pieļaujama tikai poēc tam, kad valsts ir atrisinājusi pēc būtības objektu 'zemes īpašniekam nepiederoša būve vai būves daļa' piederību. Tāpēc lūdzam šo svītrot no noteikumu projekta, pievienojot nepieciešamos MK protokollēmuma projekta uzdevumus, kas paredzēs šo objektu īpašuma piederību sakārtot pēc būtības, t.sk. ja būves nevienam nepieder, tad tās ir valstij piekroitīgās un valstij attiecīgi jāveic darbības ar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tiek norādīts, ka "Kā arī Aizsargjoslu likuma 19. pantā ir noteikti aizsargjoslu parametri tikai ūdensvadu un kanalizācijas tīkliem (cauruļvadiem), bet atsevišķiem ūdensvadu un kanalizācijas tīkliem (ūdenstornis, kanalizācijas sūkņu stacijas, ūdens rezervuārs, ūdens apstrādes stacija) netiek noteikti aizsargjoslu platums". Tātad aizsargjoslas joprojām ir visiem ūdensvadu un kanalizācijas tīkliem, turklāt likums paredz, ka metodiku noteiks Ekonomikas minsitrija, tādejādi tikai tas fakts, ka likums nenosaka visiem tīkliem aizsargjoslas platumu, nenozīmē, ka aizsargjoslas citiem tīkliem vairs nav un tās varētu dzēst no Apgrūtināto teritoriju  vai Kadastra informācijas sistēmas.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norādīts, ka "Aizsargjoslu likumā veikti šādi grozījumi: 22. panta otrās daļas 4. punktā izslēgts "d" un "e" apakšpunkts – ap automobiļu gāzes uzpildes stacijām un ap sašķidrinātās ogļūdeņražu gāzes balonu noliktavām un tirdzniecības punktiem vairs nenoteiks ekspluatācijas aizsargjoslas."  Tomēr no likuma pēc būtības nav izslēgtas minētās aizsargjoslas, tikai noteikts, ka aizsargjoslu noteikšanas metodiku noteiks EM. tāpēc šādas aizsargjoslas nevar tikt dzēstas tikai tāpēc, ka likums vairs nenoska vienotus metrus.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visu šo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Ne vēlāk kā sešu mēnešu laikā no šo noteikumu spēkā stāšanās Informācijas sistēmā dzēš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dzēst datus par aizsargjoslām, kuras joprojām eksistē, tikai tāpēc, ka likumdevējs nevis noteica vienotus aizsargloslu platuma metrus, bet noteica, ka aizsargjoslu noteikšanas metodiku izstrādās Ekonomikas ministrija. Lūdzam dzēst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Līdz grozījumu Ministru kabineta noteikumos kadastrālās vērtēšanas jomā spēkā stāšanās brīdim, paredzot ar šiem noteikumiem noteikto jauno apgrūtinājumu izvērtēšanu kadastrālās vērtības aprēķinā: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pieņemama šāda tiesiskās nenoteiktības ieviešana normatīvajos aktos! Lūdzam svītrot minēto punktu, jo nav pieņemami, ka Apgrūtināto teritoriju informācijas sistēmas noteikumos tiek noteikti kadastrālās vērtēšanas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lūdzam pievienot šādu Ministru kabineta protokollēmumu: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noteiktā kārtībā iesniegt Ministru kabinetā grozījumus Ministru kabineta 2020. gada 18. februāra noteikumos Nr. 103 "Kadastrālās vērtēšanas noteikumi", t.sk. salāgojot normas ar Apgrūtināto teritoriju informācijas sistēmas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sistēmas objektu klasifikators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gan 1.pielikumā, gan 2.pielikumā , gan 3.pielikumā ir uzskaitīti apgrūtinājumi, nav pamata tos dalīt divās daļās, bet jāapvieno vienā sarakstā- vienotā apgrūtināto teritoriju un nekustamā īpašuma objekta apgrūtinājumu klasifikatorā - 1.pielikums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iebildumu noraidīšanas pamatojums pēc būtības nav sniegts, bet netieši ir noprotams, ka ATIS sistēmā kartogrāfiski attēlos tikai  dālu no apgrūtinājumiem. Tā nav pieņemama situācija, jo ATIS ir jāattēlo visi apgrūtinājumi.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15.08.2023.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15.08.2023.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