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25-TA-1281: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distances līgumu par finanšu pakalpojumu sniegšanu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nozares asociācija ir iepazinusies ar Ekonomikas ministrijas sagatavoto Ministru kabineta noteikumu projektu “Noteikumi par distances līgumu par finanšu pakalpojumu sniegšanu”. Ņemot vērā projekta pašreizējo redakciju, </w:t>
            </w:r>
            <w:r w:rsidR="00000000" w:rsidRPr="00000000" w:rsidDel="00000000">
              <w:rPr>
                <w:b w:val="1"/>
                <w:rtl w:val="0"/>
              </w:rPr>
              <w:t xml:space="preserve">Asociācija to saskaņo un lūdz ņemt vērā turpmāk sniegto priekšlikumu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IV nodaļa pārņem Direktīvas 2023/2673 16b. panta prasības par atteikuma tiesībām attiecībā uz distances līgumiem par finanšu pakalpojumu sniegšanu, tādējādi faktiski saglabājot līdzšinējo regulējumu. Tomēr praksē viedokļi dalās, jo ne nacionālais, ne ES regulējums nesniedz nepārprotamu atbildi par izņēmuma piemērošanu pakalpojumiem, kuru cena vai vērtība ir atkarīga no finanšu tirgus svārstībām ārpus pakalpojuma sniedzēja kontroles. Diskusiju centrā ir produkta būtība un ar to neatraujami saistītais tirgus svārstīgums.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Ekonomikas ministriju papildināt anotāciju ar skaidrojumu par atteikuma tiesību tvērumu privāto pensiju darījumos un nepieciešamības gadījumā novērst pirmšķietami maldinošu priekšstatu, ka atteikuma tiesības vienmēr attiecināmas arī uz līgumiem par uzkrājuma veidošanu pensiju 3. līmenī un šī uzkrājuma pārvaldīšanu. Latvijā, atšķirībā no vairākām citām ES dalībvalstīm, privāto pensiju produkti pārsvarā ir 3. līmeņa pensiju plānu uzkrājumi, kuru pārvaldīšana ietver ieguldījumus finanšu tirgus instrumentos (akcijās, ieguldījumu fondu apliecībās, privātajā/riska kapitālā u. c.), bez kapitāla saglabāšanas vai garantēta pieauguma. Līdz ar to šādiem produktiem vajadzētu atbilst tiem gadījumiem, kad piemērojams izņēmums attiecībā uz atteikuma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skaidrojums nepieciešams situācijās, kad 3. līmeņa dalībnieks maina pārvaldnieku un pārnes uzkrājumu pie cita pārvaldnieka - vai šādā gadījumā starp dalībnieku un jauno pārvaldnieku veidojas jauns distances līgums, uz kuru būtu attiecināms atteikuma periods, vai arī pārvaldnieka maiņa bez jaunām iemaksām nav kvalificējama kā jauna līguma noslēgšana.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atteikuma tiesības tomēr būtu jāpiemēro, vai un kā tas ietekmētu dalībnieka tiesības pieprasīt pensiju 3.līmeņa uzkrājuma izmaksu mijiedarbībā ar Privāto pensiju fondu likuma 17. panta sesto daļu, kas nosaka vispārīgu aizliegumu izņemt veiktās iemaksas pirms 55 gadu vecuma sasniegšanas (izņemot atsevišķus likumā noteiktos gadījumus, piemēram, invaliditātes vai nāves gadījumos). Jāņem vērā, ka nedz Privāto pensiju fondu likums, nedz arī Regula 2019/1238 neparedz īpašas atteikuma tiesības šajā aspektā, tādēļ risinājums meklējams noteikumu projekta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esam gatavi šos jautājumus apspriest ar Ekonomikas ministrijas pārstāvjiem.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Onzuls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25-TA-1281</w:t>
    </w:r>
    <w:r>
      <w:br/>
    </w:r>
    <w:r w:rsidR="00000000" w:rsidRPr="00000000" w:rsidDel="00000000">
      <w:rPr>
        <w:rtl w:val="0"/>
      </w:rPr>
      <w:t xml:space="preserve">Izdrukāts 02.09.2025. 17.31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25-TA-1281</w:t>
    </w:r>
    <w:r>
      <w:br/>
    </w:r>
    <w:r w:rsidR="00000000" w:rsidRPr="00000000" w:rsidDel="00000000">
      <w:rPr>
        <w:rtl w:val="0"/>
      </w:rPr>
      <w:t xml:space="preserve">Izdrukāts 02.09.2025. 17.31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Atzinumi_25-TA-1281.docx</dc:title>
</cp:coreProperties>
</file>

<file path=docProps/custom.xml><?xml version="1.0" encoding="utf-8"?>
<Properties xmlns="http://schemas.openxmlformats.org/officeDocument/2006/custom-properties" xmlns:vt="http://schemas.openxmlformats.org/officeDocument/2006/docPropsVTypes"/>
</file>