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22-TA-2792: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Latvijas Atveseļošanas un noturības mehānisma plāna 5.2. reformu un investīciju virziena "Augstskolu pārvaldības modeļa maiņas nodrošināšana" 5.2.1.r. reformas "Augstākās izglītības un zinātnes izcilības un pārvaldības reforma" 5.2.1.1.i. investīcijas "Pētniecības, attīstības un konsolidācijas granti" otrās kārtas "Konsolidācijas un pārvaldības izmaiņu ieviešanas granti"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Latvijas Atveseļošanas un noturības mehānisma plāna 5.2. reformu un investīciju virziena "Augstskolu pārvaldības modeļa maiņas nodrošināšana" 5.2.1.r. reformas "Augstākās izglītības un zinātnes izcilības un pārvaldības reforma" 5.2.1.1.i. investīcijas "Pētniecības, attīstības un konsolidācijas granti" otrās kārtas "Konsolidācijas un pārvaldības izmaiņu ieviešanas granti"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atkārtoti iesniegt MKN projektu un tā anotāciju angļu valodā, lai nodrošinātu to saskaņošanu ar Eiropas Komisiju. Vēršam uzmanību, ka saskaņošanas process var aizņemt vismaz 1 mēnesi.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Naudiņa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Investīcijas otrās kārtas ietvaros vienošanās par projektu īstenošanu slēdz Centrālā finanšu un līgumu aģentūra (turpmāk – atbalsta sniedzējs).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ņemt vērā MKN izziņas 18.punktā sniegto iebildumu </w:t>
            </w:r>
            <w:r w:rsidR="00000000" w:rsidRPr="00000000" w:rsidDel="00000000">
              <w:rPr>
                <w:i w:val="1"/>
                <w:rtl w:val="0"/>
              </w:rPr>
              <w:t xml:space="preserve">"Ņemot vērā to, ka lēmumu par projekta iesnieguma apstiprināšanu pieņem Izglītības un zinātnes ministrija, lūgums koriģēt noteikumu projekta 4.punktu šādā redakcijā: </w:t>
            </w:r>
            <w:r w:rsidR="00000000" w:rsidRPr="00000000" w:rsidDel="00000000">
              <w:rPr>
                <w:i w:val="1"/>
                <w:rtl w:val="0"/>
              </w:rPr>
              <w:t xml:space="preserve">Investīcijas otrās kārtas ietvaros vienošanās par investīciju otrās kārtas projektu īstenošanu slēdz Centrālā finanšu un līgumu aģentūra (turpmāk – aģentūra)."  </w:t>
            </w:r>
            <w:r w:rsidR="00000000" w:rsidRPr="00000000" w:rsidDel="00000000">
              <w:rPr>
                <w:rtl w:val="0"/>
              </w:rPr>
              <w:t xml:space="preserve">un apstrādes informācijā norādīto informāciju, lūdzam precizēt MKN projekta tekstā un anotācijā, norādot </w:t>
            </w:r>
            <w:r w:rsidR="00000000" w:rsidRPr="00000000" w:rsidDel="00000000">
              <w:rPr>
                <w:i w:val="1"/>
                <w:rtl w:val="0"/>
              </w:rPr>
              <w:t xml:space="preserve"> "</w:t>
            </w:r>
            <w:r w:rsidR="00000000" w:rsidRPr="00000000" w:rsidDel="00000000">
              <w:rPr>
                <w:rtl w:val="0"/>
              </w:rPr>
              <w:t xml:space="preserve">Centrālā finanšu un līgumu aģentūra (turpmāk – aģentūra)."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Rasa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Šo noteikumu </w:t>
            </w:r>
            <w:r w:rsidR="00000000" w:rsidRPr="00000000" w:rsidDel="00000000">
              <w:rPr>
                <w:rtl w:val="0"/>
              </w:rPr>
              <w:t xml:space="preserve">7.2.1.</w:t>
            </w:r>
            <w:r w:rsidR="00000000" w:rsidRPr="00000000" w:rsidDel="00000000">
              <w:rPr>
                <w:rtl w:val="0"/>
              </w:rPr>
              <w:t xml:space="preserve"> apakšpunktā noteiktais mērķa rādītājs sniedz ieguldījumu Komisijas 2021. gada 28. septembra Deleģētās regulas (ES) Nr. 2021/2106, ar kuru, nosakot atveseļošanas un noturības rezultātu pārskata kopējos rādītājus un detalizētos elementus, papildina Eiropas Parlamenta un Padomes Regulu (ES) 2021/241, ar ko izveido Atveseļošanas un noturības mehānismu (turpmāk - Komisijas regula Nr. 2021/2106), pielikuma "Kopējo rādītāju saraksts" noteiktajā kopējā rādītājā "atbalstītajās pētniecības struktūrās strādājošie pētnieki" un šo noteikumu </w:t>
            </w:r>
            <w:r w:rsidR="00000000" w:rsidRPr="00000000" w:rsidDel="00000000">
              <w:rPr>
                <w:rtl w:val="0"/>
              </w:rPr>
              <w:t xml:space="preserve">7.2.2.</w:t>
            </w:r>
            <w:r w:rsidR="00000000" w:rsidRPr="00000000" w:rsidDel="00000000">
              <w:rPr>
                <w:rtl w:val="0"/>
              </w:rPr>
              <w:t xml:space="preserve"> un </w:t>
            </w:r>
            <w:r w:rsidR="00000000" w:rsidRPr="00000000" w:rsidDel="00000000">
              <w:rPr>
                <w:rtl w:val="0"/>
              </w:rPr>
              <w:t xml:space="preserve">7.2.3. </w:t>
            </w:r>
            <w:r w:rsidR="00000000" w:rsidRPr="00000000" w:rsidDel="00000000">
              <w:rPr>
                <w:rtl w:val="0"/>
              </w:rPr>
              <w:t xml:space="preserve">apakšpunktā</w:t>
            </w:r>
            <w:r w:rsidR="00000000" w:rsidRPr="00000000" w:rsidDel="00000000">
              <w:rPr>
                <w:rtl w:val="0"/>
              </w:rPr>
              <w:t xml:space="preserve"> noteiktais mērķa rādītājs sniedz ieguldījumu Komisijas regulas Nr.2021/2106 pielikuma "Kopējo rādītāju saraksts" noteiktajā kopējā rādītājā "to jauniešu skaits vecumā no 15 līdz 29 gadiem, kuri saņem atbalstu".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noteikumu projekta 9.punktā noteikto kopējo rādītāju dati tiešā veidā neizriet no 7.punktā minētajiem mērķa rādītājiem, lūdzam papildināt anotāciju nosakot pamatojošo dokumentāciju un kārtību, kādā finansējuma saņēmējs ziņo par kopējiem rādītājiem, paredzot, ka finansējuma saņēmējs Centrālai finanšu un līgumu aģentūrai iesniedz anonimizētus dalībnieku datus, ko nepieciešamības gadījumā ir iespējams identificēt.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Rasa Teivāne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Investīcijas otrajai kārtai pieejamais finansējums ir līdz 58 489 180 </w:t>
            </w:r>
            <w:r w:rsidR="00000000" w:rsidRPr="00000000" w:rsidDel="00000000">
              <w:rPr>
                <w:i w:val="1"/>
                <w:rtl w:val="0"/>
              </w:rPr>
              <w:t xml:space="preserve">euro</w:t>
            </w:r>
            <w:r w:rsidR="00000000" w:rsidRPr="00000000" w:rsidDel="00000000">
              <w:rPr>
                <w:rtl w:val="0"/>
              </w:rPr>
              <w:t xml:space="preserve">, tai skaitā nepārsniedzot Atveseļošanas fonda finansējums – 53 695 700 </w:t>
            </w:r>
            <w:r w:rsidR="00000000" w:rsidRPr="00000000" w:rsidDel="00000000">
              <w:rPr>
                <w:i w:val="1"/>
                <w:rtl w:val="0"/>
              </w:rPr>
              <w:t xml:space="preserve">euro</w:t>
            </w:r>
            <w:r w:rsidR="00000000" w:rsidRPr="00000000" w:rsidDel="00000000">
              <w:rPr>
                <w:rtl w:val="0"/>
              </w:rPr>
              <w:t xml:space="preserve"> un valsts budžeta līdzfinansējums – 4 793 480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punktu norādot, ka valsts budžeta līdzfinansējums paredzēts pievienotās vērtības nodokļa (turpmāk – PVN) izmaksu segšanai, kas nav attiecināmas finansēšanai no Atveseļošanas fonda finansējuma.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Barkovska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26.5. amortizācija (attiecināms uz finansējuma saņēmēja projekta ietvaros iegādātajiem un rīcībā esošajiem pamatlīdzekļiem, kurus izmanto pētniecībai, un no ārējiem avotiem iegādātu tehnisko zināšanu, patentu vai citu intelektuālā īpašuma tiesību licenču izmantošanu).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amortizācija attiecināma par projekta ietvaros iegādātajiem pamatlīdzekļiem, tad pastāv dubultā finansējuma risks. Ņemot vērā potenciālos riskus, lūdzam izteikt sekojošā redakcijā: amortizācija (attiecināms uz finansējuma saņēmēja vai sadarbības partnera iegādātajiem un rīcībā esošajiem pamatlīdzekļiem, kurus izmanto pētniecībai, un no ārējiem avotiem iegādātu tehnisko zināšanu, patentu vai citu intelektuālā īpašuma tiesību licenču izmantošanu).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Rasa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Lai nodrošinātu neatkarīgu šo noteikumu </w:t>
            </w:r>
            <w:r w:rsidR="00000000" w:rsidRPr="00000000" w:rsidDel="00000000">
              <w:rPr>
                <w:rtl w:val="0"/>
              </w:rPr>
              <w:t xml:space="preserve">19.2.2.</w:t>
            </w:r>
            <w:r w:rsidR="00000000" w:rsidRPr="00000000" w:rsidDel="00000000">
              <w:rPr>
                <w:rtl w:val="0"/>
              </w:rPr>
              <w:t xml:space="preserve">, </w:t>
            </w:r>
            <w:r w:rsidR="00000000" w:rsidRPr="00000000" w:rsidDel="00000000">
              <w:rPr>
                <w:rtl w:val="0"/>
              </w:rPr>
              <w:t xml:space="preserve">19.2.3.</w:t>
            </w:r>
            <w:r w:rsidR="00000000" w:rsidRPr="00000000" w:rsidDel="00000000">
              <w:rPr>
                <w:rtl w:val="0"/>
              </w:rPr>
              <w:t xml:space="preserve"> un </w:t>
            </w:r>
            <w:r w:rsidR="00000000" w:rsidRPr="00000000" w:rsidDel="00000000">
              <w:rPr>
                <w:rtl w:val="0"/>
              </w:rPr>
              <w:t xml:space="preserve">19.3. </w:t>
            </w:r>
            <w:r w:rsidR="00000000" w:rsidRPr="00000000" w:rsidDel="00000000">
              <w:rPr>
                <w:rtl w:val="0"/>
              </w:rPr>
              <w:t xml:space="preserve">apakšpunktā</w:t>
            </w:r>
            <w:r w:rsidR="00000000" w:rsidRPr="00000000" w:rsidDel="00000000">
              <w:rPr>
                <w:rtl w:val="0"/>
              </w:rPr>
              <w:t xml:space="preserve"> minēto granta īstenošanu un novērstu iespējamo interešu konfliktu, katra granta pieteikuma izvērtēšanā finansējuma saņēmējus iesaista ne mazāk kā divus ārvalstu ekspertus. Iesaistot ārvalstu ekspertus, ievēro šādus nosacījumus: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un nepieciešamības gadījumā papildināt MKN projektu, vai ārvalstu ekspertu piesaiste plānota tikai grantu atlasē vai arī noslēgumā, lai tiktu nodrošināta plānotā mērķa sasniegšanas izvērtēšana?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papildināt anotāciju ar skaidrojumu, kā finansējuma saņēmēji nodrošinās interešu konflikta neesamības pārbaudi, ja nepieciešams, paredzot tiesības izmantot nepieciešamās datu bāzes interešu konflikta pārbaudes nodrošināšanai finansējuma saņēmējiem.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Rasa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38.1.1. individuālā projekta īstenošanā iesaistītā pētnieka vai akadēmiskā personāla vai projekta īstenošanā iesaistītās zinātniskās grupas locekļu, kuri strādā pamatojoties uz noslēgto darba līgumu, atlīdzība (mēnešalga) un ar to saistītās izmaksas, ieskaitot darba devēja valsts sociālās apdrošināšanas obligātās iemaksas, proporcionāli projektā nostrādātajam laikam izmaksātā atvaļinājuma nauda un atvaļinājuma pabalsts, darba nespējas izdevumi, saskaņā ar projekta iesniedzēja  atalgojuma politiku un atlīdzības likmēm. Atlīdzībai jābūt samērojamai ar izpildāmajām aktivitātēm projektā un tam izlietoto darba laiku, kā arī, ievērojot projektā īstenojamo aktivitāšu intensitāti;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MKN 38.1.apakšpunkta vai 38.1.1.apakšpunkta redakciju, ņemot vērā, ka MKN 38.1.1.apakšpunkta redakcija ir identiska ar 38.1.apakšpunktu.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Rasa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38.1.3. amortizācijas izmaksas (attiecināms uz finansējuma saņēmēja un sadarbības partneru projekta ietvaros iegādātajiem un rīcībā esošajiem pamatlīdzekļiem, kurus izmanto pētniecībai, un no ārējiem avotiem iegādātu tehnisko zināšanu, patentu vai citu intelektuālā īpašuma tiesību licenču iegādes izmaksas (turpmāk – nemateriāli aktīvi)), ja darījums ir veikts konkurences apstākļos un nav bijis slepenu norunu. Ja pamatlīdzekļu vai nemateriālo aktīvu izmantošanas laiks projekta ietvaros neaptver visu to lietderīgās lietošanas laiku, par attiecināmām izmaksām uzskatāmas tikai tās nolietojuma izmaksas, kas atbilst projekta īstenošanas termiņam. Minētās izmaksas aprēķina proporcionāli pamatlīdzekļu vai nemateriālo aktīvu izmantošanas laikam un intensitātei saskaņā ar normatīvajiem aktiem par nolietojuma normām un lietošanas nosacījumiem, kā arī labai grāmatvedības praksei;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amortizācija attiecināma par projekta ietvaros iegādātajiem pamatlīdzekļiem, tad pastāv dubultā finansējuma risks. Ņemot vērā potenciālos riskus, lūdzam 38.1.3. apakšpunktu izteikt sekojošā redakcijā: amortizācija (attiecināms uz finansējuma saņēmēja un sadarbības partneru rīcībā esošajiem iegādātajiem un rīcībā esošajiem pamatlīdzekļiem, kurus izmanto pētniecībai, un no ārējiem avotiem iegādātu tehnisko zināšanu, patentu vai citu intelektuālā īpašuma tiesību licenču izmantošanu).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Rasa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 Atbalsta sniedzējs, veicot avansa un starpposma maksājumus, nodrošina, ka finansējuma saņēmējam veikto avansa un starpposma maksājumu kopsumma nepārsniedz 90 procentus no investīcijas otrās kārtas projekta kopējā finansējuma.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MKN ar precīziem nosacījumiem, pie kādiem Atbalsta sniedzējs ir tiesīgs veikt starpposma maksājumus. t.i. vai starpposma maksājumi tiek veikti balstoties uz finansējuma saņēmēja sniegto informāciju par sasniegto progresu vai pret sasniegtajiem rādītājiem un mērķiem.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sastādot projekta iesnieguma budžeta kopsavilkumu pret atbalstāmajām darbībām, noteikt katra sasniedzamā rādītāja finansiālo vērtību, nav iespējams.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Rasa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 Investīcijas otrās kārtas projektu īsteno līdz 2026. gada 30. jūnijam.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milzīgo samērā apjomīgo investīciju darbību ieviešanu, t.sk. dokumentu apjomu, kā arī to, ka nacionālo rādītāju atzīšanai nozares ministrijai būs nepieciešams laiks līdz finansējuma saņemējs IZM atzinumus par nacionālo rādītāju apstiprināšanu varēs iekļaut noslēguma maksājuma pieprasījumā, lūdzam papildināt MKN ar maksimālo termiņu iekšējo grantu projektu īstenošanai, kas ir vismaz par 5 mēnešiem īsāks par kopējo projekta īstenošanas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saīsināt MKN 60.punktā noteikto projektu īstenošanas termiņu uz 2026.gada 31.maiju, paredzot samērīgus termiņus noslēguma dokumentācijas sagatavošanai un izvērtēšanai visām iesaistītajām pusēm.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Rasa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 Investīcijas otrās kārtas ietvaros tiek īstenoti ar saimniecisku darbību nesaistīti sadarbības projekti, kuru darbības atbilst šādiem kritērijiem: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iepriekšējā atzinumā izteikto iebildumu attiecībā uz to, ka noteikumi paredz atbalstāmās darbības izglītības nozarē, piemēram, izglītības procesa uzlabojumi vai mācību programmu izstrāde. Attiecīgi lūdzam skaidri nodalīt nosacījumus, kas attiecas uz pētniecību un izglītību, jo, piemēram, noteikumu 19.1.2.punktā minēto darbību ietvaros ir gan izglītības darbības, gan pētniecības darbības. Aicinām ietvert skaidras atsauces uz noteikumu projekta 19.punkta apakšpunktiem, lai tiesību piemērotājam būtu skaidrs, kuras no darbībām ir kvalificējamas kā izglītības darbības, un kuras - kā pētniecības darbības.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67.1. investīcijas otrās kārtas projekta darbībām augstākās izglītības institūcijas pamatdarbības jomā nav saimnieciska rakstura, 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Komisijas paziņojuma Pētniecībai, izstrādei un inovācijai piešķiramā valsts atbalsta nostādnes (2022/C 414/01) 20 (a) punktu minēti saimniecisko darbību izslēdzošā pētniecības organizāciju un pētniecības infrastruktūru pamatdarbība. Savukārt, 67.1.punkts runā par augstākās izglītības institūcijas pamatdarbību. Lūdzam noteikumus precizēt tā, lai skaidrs, ka augstākās izglītības institūcijas attiecībā uz atbalstu pētniecībai atbilst pētniecības organizācijas un pētniecības infrastruktūras definīcijām, un ar attiecīgu atbilstības skaidrojumu lūdzam papildināt arī anotāciju, jo šobrīd anotācijā ir minēts "Papildus tam investīcijas otrās kārtas atbalsta saņēmēji ir augstākās izglītības institūcijas un pētniecības organizācijas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ņemt vērā Izglītības un zinātnes ministrijas 2021.gada decembra skaidrojumu un Eiropas Komisijas 2022.gada atbildi (nosūtīta IZM ar 09.12.2022. FM vēstuli Nr.7-4/18/3645) attiecībā uz Latvijas augstskolu darbību un pētniecības organizāciju statusu un to nosķiršanu.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67.1.2. tās ir saimnieciska rakstura darbības, kas atbilst šādiem kritērijiem: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dzēst šo 67.1.2.apakšpunktu, jo tas ir pretrunā ar 67.1.punktu, ka "investīcijas otrās kārtas projekta darbībām augstākās izglītības institūcijas pamatdarbības jomā nav saimnieciska rakstura". Lūdzam 67.1.2.1 un 67.1.2.2 izteikt kā noteikumu 67.1.2. un 67.1.3.apakšpunktus precizējot redakcijas.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67.2.1. tiek īstenota neatkarīga pētniecība un izstrāde ar mērķi gūt vairāk zināšanu un labāku izpratni, tostarp īstenota kopīga pētniecība un izstrāde, kad pētniecības organizācija vai pētniecības infrastruktūra iesaistās efektīvā sadarbībā;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šī punkta redakciju atbilstoši Komisijas paziņojuma Pētniecībai, izstrādei un inovācijai piešķiramā valsts atbalsta nostādnes (2022/C 414/01) 20 (a) (ii) apakšpunktam.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67.3. pētniecības darbības tiek veiktas efektīvā sadarbībā, ja efektīva sadarbība atbilst Komisijas 2014. gada 17. jūnija Regulas (ES) Nr. 651/2014, ar ko noteiktas atbalsta kategorijas atzīst par saderīgām ar iekšējo tirgu, piemērojot Līguma 107. un 108. pantu (turpmāk – Komisijas regula Nr. 651/2014), 2. panta 90. punktā noteiktajai definīcijai un ja investīcijas otrās kārtas projekts paredz sadarbību ar vairākām neatkarīgām pusēm, nodrošinot atbilstību šādiem kritērijiem: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67.3.apakšpunktā norādīto, ka efektīva sadarbība atbilst Komisijas 2014. gada 17. jūnija Regulas (ES) Nr. 651/2014, ar ko noteiktas atbalsta kategorijas atzīst par saderīgām ar iekšējo tirgu, piemērojot Līguma 107. un 108. pantu, 2. panta 90. punktā noteiktajai definīcijai, lūdzam dzēst 67.3.1. un 67.3.2.apakšpunktu, tādejādi novēršot nepamatotu paplašinājumu regulas definīcijas tvērumam. Vienlaikus norādām, ka 67.3.apakšpunktā norādītais neatbilst arī skaidrotajam anotācijā: “ka 67.3.apakšpunktā definētie kritēriji efektīvai sadarbībai - atbilstoši Komisijas Paziņojuma “Pētniecībai, izstrādei un inovācijai piešķiramā valsts atbalsta nostādnes” (2022/c 414/01) 20.punkta a) un b) apakšpunktam un 28.punktam. Tai skaitā paredzot, ka finansējuma saņēmējiem ir jāievēro Zinātniskās darbības likumā noteiktās prasības attiecībā uz mantisko tiesību uz pētniecības rezultātu nostiprināšanu un atsavināšanu.”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precizēt arī anotāciju atbilstoši Regulas (ES) Nr. 651/2014 2. panta 90. punktā noteiktajai definīcijai.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 Finansējuma saņēmējs nodrošina, ka ieņēmumi no maksas par šo noteikumu </w:t>
            </w:r>
            <w:r w:rsidR="00000000" w:rsidRPr="00000000" w:rsidDel="00000000">
              <w:rPr>
                <w:rtl w:val="0"/>
              </w:rPr>
              <w:t xml:space="preserve">19.1.3. </w:t>
            </w:r>
            <w:r w:rsidR="00000000" w:rsidRPr="00000000" w:rsidDel="00000000">
              <w:rPr>
                <w:rtl w:val="0"/>
              </w:rPr>
              <w:t xml:space="preserve">apakšpunktā</w:t>
            </w:r>
            <w:r w:rsidR="00000000" w:rsidRPr="00000000" w:rsidDel="00000000">
              <w:rPr>
                <w:rtl w:val="0"/>
              </w:rPr>
              <w:t xml:space="preserve"> minēto studiju programmu īstenošanu ir ieņēmumi no studentiem mācību procesā, kas nepārsniedz 50 procentus no kopējiem izdevumiem šo noteikumu </w:t>
            </w:r>
            <w:r w:rsidR="00000000" w:rsidRPr="00000000" w:rsidDel="00000000">
              <w:rPr>
                <w:rtl w:val="0"/>
              </w:rPr>
              <w:t xml:space="preserve">19.1.3. </w:t>
            </w:r>
            <w:r w:rsidR="00000000" w:rsidRPr="00000000" w:rsidDel="00000000">
              <w:rPr>
                <w:rtl w:val="0"/>
              </w:rPr>
              <w:t xml:space="preserve">apakšpunktā</w:t>
            </w:r>
            <w:r w:rsidR="00000000" w:rsidRPr="00000000" w:rsidDel="00000000">
              <w:rPr>
                <w:rtl w:val="0"/>
              </w:rPr>
              <w:t xml:space="preserve"> minēto studiju programmu sagatavošanai un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darbība, kas galvenokārt ir finansēta no publiskiem līdzekļiem nodrošinot valsts pasūtījumu augstākās izglītības jomā, ir ar nesaimniecisku raksturu. Lūdzam šo papildināt ar atsaucēm uz visiem 19.punkta apakšpunktiem, kuros minēts atbalsts izglītībai, nevis pētniecībai.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 Finansējuma saņēmēji un to sadarbības partneri investīcijas otrās kārtas projekta īstenošanas laikā un piecus gadus pēc pēdējā maksājuma dalībvalstij, jeb līdz 2031. gada beigām, veikšanas nodrošina visu ar investīcijas otrās kārtas projekta īstenošanu saistīto dokumentu glabāšanu, tai skaitā investīcijas otrās kārtas projekta iesnieguma, jebkuru ar investīcijas otrās kārtas projektu saistīto sarakstes dokumentu, iepirkuma dokumentācijas, investīcijas otrās kārtas projekta noslēgto līgumu, veikto darbu, piegāžu un sniegto pakalpojumu apliecinošu dokumentu, veikto maksājumu apliecinošo dokumentu oriģinālu vai to atvasinājumu ar juridisko spēku glabāšanu.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iepriekšējā atzinumā minēto iebildumu, ka, ņemot vērā šo noteikumu 68.1. un 68.4.punktā minēto termiņu, kurā ir jānodrošina komercdarbības atbalsta izslēdzošo nosacījumu uzraudzība, proti, infrastruktūras amortizācijas periodā, lūdzam precizēt šajā punktā minēto dokumentu glabāšanas termiņu attiecībā uz tiem gadījumiem, kad ir jānodrošina uzraudzība visā amortizācijas termiņā.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noteikumu projekta anotācijā nav atrodams pamatojums pievienotās vērtības nodokļa izmaksu apmēra palielinājumam no 2 255 224 euro uz 4 793 480 euro. Līdz ar to, lūdzam to skaidrot.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Barkovska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anotācijā ietverto skaidrojumu par Padomes 2018.gada 18.jūlija regulas  Nr.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(turpmāk – Finanšu regula) noteikto izslēgšanas kritēriju izvērtēšanu. Skaidrojam, ka atbilstoši Eiropas Komisijas nosacījumiem, lai aizsargātu Eiropas Savienības finanšu intereses, no atlases tiek izslēgti finansējuma saņēmēji un dalībnieki, ja tie atbilst kādam no Finanšu regulas 136.pantā noteiktajiem izslēgšanas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attiecīgā nosacījuma ievērošanu, Finanšu ministrija vadlīnijās "Vadlīnijas informatīvā ziņojuma vai Ministru kabineta noteikumu izstrādei par Eiropas Savienības Atveseļošanas un noturības mehānisma plāna reformas vai investīcijas ieviešanu" ir ietvērusi nosacījumu, ka iestādēm, izstrādājot Ministru kabineta noteikumus vai informatīvo ziņojumu par investīcijas īstenošanu, ir jāiekļauj nosacījumu, ka projekta iesniedzējs tiek pārbaudīts atbilstoši Finanšu regulā noteiktajiem izslēgšanas kritērijiem (vadlīniju 46.punkts). Attiecīgi, nosacījumam, ka projekta iesniedzējs tiek pārbaudīts atbilstoši Finanšu regulā noteiktajiem izslēgšanas kritērijiem, tiesību aktā par investīcijas īstenošanu ir obligāts. Apzināmies, ka Atveseļošanas fonda ietvaros potenciālie finansējuma saņēmēji ir dažādi un uz publisko tiesību subjektiem attiecīgie kritēriji pēc būtības nevarētu tik attiecināti, ņemot vērā objektīvi pamatotu risku neesamību šajā jomā, kā arī mērķtiecīgi īstenojot minētās pārbaudes attiecībā uz tie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papildināt noteikumu projektu ar nosacīju, ka izvērtējums atbilstoši izslēgšanas kritērijiem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Darja Zaharova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67.1.1.punkts nosaka, ka investīcijas otrās kārtas projekta darbībām augstākās izglītības institūcijas pamatdarbības jomā nav saimnieciska rakstura, ja "tiek īstenoti izglītības pasākumi, lai panāktu personāla skaita un kvalifikācijas paaugstināšanos. Uzskata, ka publiskā izglītība, kas tiek nodrošināta valsts izglītības sistēmas ietvaros un kas galvenokārt vai pilnībā ir valsts finansēta un uzraudzīta, nav saistīta ar saimniecisku darbību." Vienlaikus anotācijā ir skaidrots, ka "vērtējot finansējuma saņēmējus, kas iekļauti šajā noteikumu projektā ir secināms, ka to darbība galvenokārt ir finansēta no publiskiem līdzekļiem nodrošinot valsts pasūtījumu augstākās izglītības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anotāciju papildināt ar skaidrojumu, no kādiem datiem izriet secinājums, ka noteikumos minētās augstskolas galvenokārt (vairāk kā 50 % no kopējā apjoma) ir finansēta no publiskiem līdzekļiem.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šobrīd ir 2023.gads, attiecīgi anotācijā ir precizējams kārtējais gads, kā arī informācija kolonnā “Turpmākie trīs gadi (euro)”.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Barkovska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Atbalstīt, ka Atveseļošanas un noturības mehānisma plāna 5. komponentes "Ekonomikas transformācija un produktivitātes reforma" 5.2. reformu un investīciju virziena "Augstskolu pārvaldības modeļa maiņas nodrošināšana" 5.2.1.r. reformas "Augstākās izglītības un zinātnes izcilības un pārvaldības reforma" 5.2.1.1.i. investīcijas "Pētniecības, attīstības un konsolidācijas granti" otrās kārtas "Konsolidācijas un pārvaldības izmaiņu ieviešanas granti" ietvaros īstenoto investīcijas projektu pievienotās vērtības nodokļa izmaksas ne vairāk kā 4 793 479 </w:t>
            </w:r>
            <w:r w:rsidR="00000000" w:rsidRPr="00000000" w:rsidDel="00000000">
              <w:rPr>
                <w:i w:val="1"/>
                <w:rtl w:val="0"/>
              </w:rPr>
              <w:t xml:space="preserve">euro</w:t>
            </w:r>
            <w:r w:rsidR="00000000" w:rsidRPr="00000000" w:rsidDel="00000000">
              <w:rPr>
                <w:rtl w:val="0"/>
              </w:rPr>
              <w:t xml:space="preserve"> apmērā tiks segtas no 74. resora “Gadskārtējā valsts budžeta izpildes procesā pārdalāmais finansējums” 80.00.00. programmas “Nesadalītais finansējums Eiropas Savienības politiku instrumentu un pārējās ārvalstu finanšu palīdzības līdzfinansēto projektu un pasākumu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savstarpēji salāgot noteikumu projektā un protokollēmuma projektā sniegto informāciju par no valsts budžeta līdzekļiem sedzamo pievienotās vērtības nodokļa apmēru, jo šobrīd starp šiem projektiem veidojas nobīde par 1 euro.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Barkovska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Eiropas Savienības Atveseļošanas un noturības mehānisma (turpmāk – Atveseļošanas fonds) plāna 5. komponentes "Ekonomikas transformācija un produktivitātes reforma" 5.2. reformu un investīciju virziena "Augstskolu pārvaldības modeļa maiņas nodrošināšana" 5.2.1.r. reformas "Augstākās izglītības un zinātnes izcilības un pārvaldības reforma" 5.2.1.1.i. investīcijas "Pētniecības, attīstības un konsolidācijas granti" otrās kārtas "Konsolidācijas un pārvaldības izmaiņu ieviešanas granti" (turpmāk – investīcijas otrā kārta) īstenošanas un uzraudzības kārtību, tostarp nosaka: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MKN projekta 1.punktu atbilstoši veiktajiem precizējumiem MKN projekta nosaukumā.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Naudiņa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 pētniecības infrastruktūra – iekārtas, resursi un saistītie pakalpojumi, kas atbilst Komisijas regulas Nr. 651/2014 2. panta 91. punktā noteiktajai definīcijai;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notiekumu projekta 2.10.apakšpunktu, norādot pilno Komisijas regulas nosaukumu un pieņemšanas datumu, ņemot vērā, ka tas netika atrunāts iepriekš.</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Darja Zaharova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Katram šo noteikumu </w:t>
            </w:r>
            <w:r w:rsidR="00000000" w:rsidRPr="00000000" w:rsidDel="00000000">
              <w:rPr>
                <w:rtl w:val="0"/>
              </w:rPr>
              <w:t xml:space="preserve">14. </w:t>
            </w:r>
            <w:r w:rsidR="00000000" w:rsidRPr="00000000" w:rsidDel="00000000">
              <w:rPr>
                <w:rtl w:val="0"/>
              </w:rPr>
              <w:t xml:space="preserve">punktā</w:t>
            </w:r>
            <w:r w:rsidR="00000000" w:rsidRPr="00000000" w:rsidDel="00000000">
              <w:rPr>
                <w:rtl w:val="0"/>
              </w:rPr>
              <w:t xml:space="preserve"> paredzētajam konsolidācijas gadījumam vismaz 45 procenti no kopējā piešķirtā finansējuma investīcijas otrās kārtas projektā ir jāparedz šo noteikumu </w:t>
            </w:r>
            <w:r w:rsidR="00000000" w:rsidRPr="00000000" w:rsidDel="00000000">
              <w:rPr>
                <w:rtl w:val="0"/>
              </w:rPr>
              <w:t xml:space="preserve">19.2.</w:t>
            </w:r>
            <w:r w:rsidR="00000000" w:rsidRPr="00000000" w:rsidDel="00000000">
              <w:rPr>
                <w:rtl w:val="0"/>
              </w:rPr>
              <w:t xml:space="preserve"> un </w:t>
            </w:r>
            <w:r w:rsidR="00000000" w:rsidRPr="00000000" w:rsidDel="00000000">
              <w:rPr>
                <w:rtl w:val="0"/>
              </w:rPr>
              <w:t xml:space="preserve">19.3. </w:t>
            </w:r>
            <w:r w:rsidR="00000000" w:rsidRPr="00000000" w:rsidDel="00000000">
              <w:rPr>
                <w:rtl w:val="0"/>
              </w:rPr>
              <w:t xml:space="preserve">apakšpunktā</w:t>
            </w:r>
            <w:r w:rsidR="00000000" w:rsidRPr="00000000" w:rsidDel="00000000">
              <w:rPr>
                <w:rtl w:val="0"/>
              </w:rPr>
              <w:t xml:space="preserve"> paredzēto darbību īstenošanai, izņemot </w:t>
            </w:r>
            <w:r w:rsidR="00000000" w:rsidRPr="00000000" w:rsidDel="00000000">
              <w:rPr>
                <w:rtl w:val="0"/>
              </w:rPr>
              <w:t xml:space="preserve">14.10. </w:t>
            </w:r>
            <w:r w:rsidR="00000000" w:rsidRPr="00000000" w:rsidDel="00000000">
              <w:rPr>
                <w:rtl w:val="0"/>
              </w:rPr>
              <w:t xml:space="preserve">apakšpunktā</w:t>
            </w:r>
            <w:r w:rsidR="00000000" w:rsidRPr="00000000" w:rsidDel="00000000">
              <w:rPr>
                <w:rtl w:val="0"/>
              </w:rPr>
              <w:t xml:space="preserve"> minēto konsolidācijas gadījumu.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15.punktu ar vārdiem "šo noteikumu" pirms skaitļa un vārda "14.10.apakšpunktā".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Darja Zaharova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20.10. darba vietu izveide akadēmiskajam vai zinātniskajam personālam, kuru plānots piesaistīt no reorganizējamām vai likvidējamajām augstākās izglītības institūcijām vai zinātniskajiem institūtiem;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skaidrot, kāda veida izmaksas ietilpst darba vietu izveidē.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Rasa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Šo noteikumu </w:t>
            </w:r>
            <w:r w:rsidR="00000000" w:rsidRPr="00000000" w:rsidDel="00000000">
              <w:rPr>
                <w:rtl w:val="0"/>
              </w:rPr>
              <w:t xml:space="preserve">19.1.4.</w:t>
            </w:r>
            <w:r w:rsidR="00000000" w:rsidRPr="00000000" w:rsidDel="00000000">
              <w:rPr>
                <w:rtl w:val="0"/>
              </w:rPr>
              <w:t xml:space="preserve"> apakšpunktā minētā atbalstāmā darbība ietver darba tiesisko attiecību izbeigšanu.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svītrot noteikumu projekta 23.punktu. Vēršam uzmanību, ka minētajam punktam nav juridiskā sloga, ņemot vērā, ka noteikumu projekta 19.1.4.apšpunktā ir norādīts, ka tas attiecas uz darba tiesisko attiecību izbeigšanu.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Darja Zaharova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Lai nodrošinātu neatkarīgu šo noteikumu </w:t>
            </w:r>
            <w:r w:rsidR="00000000" w:rsidRPr="00000000" w:rsidDel="00000000">
              <w:rPr>
                <w:rtl w:val="0"/>
              </w:rPr>
              <w:t xml:space="preserve">19.2.2.</w:t>
            </w:r>
            <w:r w:rsidR="00000000" w:rsidRPr="00000000" w:rsidDel="00000000">
              <w:rPr>
                <w:rtl w:val="0"/>
              </w:rPr>
              <w:t xml:space="preserve">, </w:t>
            </w:r>
            <w:r w:rsidR="00000000" w:rsidRPr="00000000" w:rsidDel="00000000">
              <w:rPr>
                <w:rtl w:val="0"/>
              </w:rPr>
              <w:t xml:space="preserve">19.2.3.</w:t>
            </w:r>
            <w:r w:rsidR="00000000" w:rsidRPr="00000000" w:rsidDel="00000000">
              <w:rPr>
                <w:rtl w:val="0"/>
              </w:rPr>
              <w:t xml:space="preserve"> un </w:t>
            </w:r>
            <w:r w:rsidR="00000000" w:rsidRPr="00000000" w:rsidDel="00000000">
              <w:rPr>
                <w:rtl w:val="0"/>
              </w:rPr>
              <w:t xml:space="preserve">19.3. </w:t>
            </w:r>
            <w:r w:rsidR="00000000" w:rsidRPr="00000000" w:rsidDel="00000000">
              <w:rPr>
                <w:rtl w:val="0"/>
              </w:rPr>
              <w:t xml:space="preserve">apakšpunktā</w:t>
            </w:r>
            <w:r w:rsidR="00000000" w:rsidRPr="00000000" w:rsidDel="00000000">
              <w:rPr>
                <w:rtl w:val="0"/>
              </w:rPr>
              <w:t xml:space="preserve"> minēto granta īstenošanu un novērstu iespējamo interešu konfliktu, katra granta pieteikuma izvērtēšanā finansējuma saņēmējus iesaista ne mazāk kā divus ārvalstu ekspertus. Iesaistot ārvalstu ekspertus, ievēro šādus nosacījumus: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tehniski precizēt:</w:t>
            </w:r>
            <w:r w:rsidR="00000000" w:rsidRPr="00000000" w:rsidDel="00000000">
              <w:rPr>
                <w:i w:val="1"/>
                <w:rtl w:val="0"/>
              </w:rPr>
              <w:t xml:space="preserve"> "Lai nodrošinātu neatkarīgu šo noteikumu 19.2.2., 19.2.3. un 19.3. apakšpunktā minēto granta īstenošanu un novērstu iespējamo interešu konfliktu, katra granta pieteikuma izvērtēšanā finansējuma </w:t>
            </w:r>
            <w:r w:rsidR="00000000" w:rsidRPr="00000000" w:rsidDel="00000000">
              <w:rPr>
                <w:i w:val="1"/>
                <w:u w:val="single"/>
                <w:rtl w:val="0"/>
              </w:rPr>
              <w:t xml:space="preserve">saņēmējs</w:t>
            </w:r>
            <w:r w:rsidR="00000000" w:rsidRPr="00000000" w:rsidDel="00000000">
              <w:rPr>
                <w:i w:val="1"/>
                <w:rtl w:val="0"/>
              </w:rPr>
              <w:t xml:space="preserve"> iesaista ne mazāk kā divus ārvalstu ekspertus"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Rasa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 ārvalstu ekspertam ir zinātnes doktora grāds;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skaidrot, vai granta pieteikuma izvērtēšanā finansējuma saņēmējs iesaistot ne mazāk kā divus ārvalstu ekspertus, nodrošina ārvalstu ekspertu piesaisti tikai un vienīgi no EK datu bazēm, proti, ārvalstu ekspertus, kuru patstāvīgā uzturēšanās ir  ārvalstīs vai arī kā eksperts drīkst tikt piesaistīta persona, kura izglītību ieguvusi ārvalstīs, bet patstāvīgi uzturas Latvijā.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Rasa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27.4. ārvalstu eksperts vērtējumu veic neatkarīgi un nepārstāv projekta iesnieguma iesniedzēja institūciju, viņa darbībā nav tādu apstākļu, kas izraisa interešu konfliktu, tai skaitā nerada un neradīs ārvalstu ekspertam personisku vai mantisku ieinteresētību.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paredzēt, ka projektu vērtēšanā iesaistītie ārvalstu eksperti, ta skaitā arī finansējuma saņēmējs paraksta apliecinājumu par interešu konflikta neesamību atbilstoši </w:t>
            </w:r>
            <w:r w:rsidR="00000000" w:rsidRPr="00000000" w:rsidDel="00000000">
              <w:rPr>
                <w:rtl w:val="0"/>
              </w:rPr>
              <w:t xml:space="preserve">Padomes 2018.gada 18.jūlija regulas Nr.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61.panta regulējumam.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Darja Zaharova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Finansējuma saņēmējs nodrošina, ka, izvērtējot </w:t>
            </w:r>
            <w:r w:rsidR="00000000" w:rsidRPr="00000000" w:rsidDel="00000000">
              <w:rPr>
                <w:rtl w:val="0"/>
              </w:rPr>
              <w:t xml:space="preserve">19.2.2.</w:t>
            </w:r>
            <w:r w:rsidR="00000000" w:rsidRPr="00000000" w:rsidDel="00000000">
              <w:rPr>
                <w:rtl w:val="0"/>
              </w:rPr>
              <w:t xml:space="preserve">, </w:t>
            </w:r>
            <w:r w:rsidR="00000000" w:rsidRPr="00000000" w:rsidDel="00000000">
              <w:rPr>
                <w:rtl w:val="0"/>
              </w:rPr>
              <w:t xml:space="preserve">19.2.3.</w:t>
            </w:r>
            <w:r w:rsidR="00000000" w:rsidRPr="00000000" w:rsidDel="00000000">
              <w:rPr>
                <w:rtl w:val="0"/>
              </w:rPr>
              <w:t xml:space="preserve"> un </w:t>
            </w:r>
            <w:r w:rsidR="00000000" w:rsidRPr="00000000" w:rsidDel="00000000">
              <w:rPr>
                <w:rtl w:val="0"/>
              </w:rPr>
              <w:t xml:space="preserve">19.3. </w:t>
            </w:r>
            <w:r w:rsidR="00000000" w:rsidRPr="00000000" w:rsidDel="00000000">
              <w:rPr>
                <w:rtl w:val="0"/>
              </w:rPr>
              <w:t xml:space="preserve">apakšpunktā</w:t>
            </w:r>
            <w:r w:rsidR="00000000" w:rsidRPr="00000000" w:rsidDel="00000000">
              <w:rPr>
                <w:rtl w:val="0"/>
              </w:rPr>
              <w:t xml:space="preserve"> minēto granta pieteikumu, tiek nodrošināta interešu konflikta prasību ievērošana un konfidenciālitātes prasību ievērošana.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28.punktu ar frāzi "šo noteikumu" pirms skaitļa 19.2.2.</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Darja Zaharova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Finansējuma saņēmējs izstrādā </w:t>
            </w:r>
            <w:r w:rsidR="00000000" w:rsidRPr="00000000" w:rsidDel="00000000">
              <w:rPr>
                <w:rtl w:val="0"/>
              </w:rPr>
              <w:t xml:space="preserve">19.2.2.</w:t>
            </w:r>
            <w:r w:rsidR="00000000" w:rsidRPr="00000000" w:rsidDel="00000000">
              <w:rPr>
                <w:rtl w:val="0"/>
              </w:rPr>
              <w:t xml:space="preserve">, </w:t>
            </w:r>
            <w:r w:rsidR="00000000" w:rsidRPr="00000000" w:rsidDel="00000000">
              <w:rPr>
                <w:rtl w:val="0"/>
              </w:rPr>
              <w:t xml:space="preserve">19.2.3.</w:t>
            </w:r>
            <w:r w:rsidR="00000000" w:rsidRPr="00000000" w:rsidDel="00000000">
              <w:rPr>
                <w:rtl w:val="0"/>
              </w:rPr>
              <w:t xml:space="preserve"> un </w:t>
            </w:r>
            <w:r w:rsidR="00000000" w:rsidRPr="00000000" w:rsidDel="00000000">
              <w:rPr>
                <w:rtl w:val="0"/>
              </w:rPr>
              <w:t xml:space="preserve">19.3. </w:t>
            </w:r>
            <w:r w:rsidR="00000000" w:rsidRPr="00000000" w:rsidDel="00000000">
              <w:rPr>
                <w:rtl w:val="0"/>
              </w:rPr>
              <w:t xml:space="preserve">apakšpunktā</w:t>
            </w:r>
            <w:r w:rsidR="00000000" w:rsidRPr="00000000" w:rsidDel="00000000">
              <w:rPr>
                <w:rtl w:val="0"/>
              </w:rPr>
              <w:t xml:space="preserve"> ​​​​​​​minēto granta pieteikumu vērtēšanas metodiku, kurā tai skaitā paredz vērtēšanas sniegšanas un rezultātu paziņošanas kārtību. Kārtības izstrādē finansējuma saņēmējs var konsultēties ar Latvijas Zinātnes padomi.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29.punktu ar frāzi "šo noteikumu" pirms skaitļa 19.2.2.</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Darja Zaharova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31.2. komunikācijas pasākumu īstenošana, tajā skaitā, lai informētu par investīciju otrās kārtas projektu kā par stratēģiski svarīgu, atbilstoši ES fondu 2021.–2027. gada plānošanas perioda un Atveseļošanas fonda komunikācijas un dizaina vadlīnijām.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noteikuma projekta 31.2.apakšpunktu sekojošā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31.2. komunikācijas pasākumu īstenošana, tajā skaitā, lai informētu par investīciju otrās kārtas projektu kā par stratēģiski svarīgu, atbilstoši  Eiropas Parlamenta un Padomes 2021. gada 12. februāra Regulai (ES) 2021/241, ar ko izveido Atveseļošanas un noturības mehānismu un Eiropas Savienības fondu 2021.–2027. gada plānošanas perioda un Atveseļošanas fonda komunikācijas un dizaina vadlīnijām.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Darja Zaharova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32.1. projekta īstenošanas personāla atlīdzības izmaksas, tai skaitā virsstundas un piemaksas atbilstoši Latvijas Republikas normatīvajiem aktiem, kas regulē darba attiecības, šo noteikumu </w:t>
            </w:r>
            <w:r w:rsidR="00000000" w:rsidRPr="00000000" w:rsidDel="00000000">
              <w:rPr>
                <w:rtl w:val="0"/>
              </w:rPr>
              <w:t xml:space="preserve">20. </w:t>
            </w:r>
            <w:r w:rsidR="00000000" w:rsidRPr="00000000" w:rsidDel="00000000">
              <w:rPr>
                <w:rtl w:val="0"/>
              </w:rPr>
              <w:t xml:space="preserve">punktā</w:t>
            </w:r>
            <w:r w:rsidR="00000000" w:rsidRPr="00000000" w:rsidDel="00000000">
              <w:rPr>
                <w:rtl w:val="0"/>
              </w:rPr>
              <w:t xml:space="preserve"> minēto atbalstāmo darbību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nepieciešamību iekļaut atiecināmajās izmaksās virsstundu darba apmaksu visā MKN tekstā ne tikai no  Darba likuma 136. panta un citu Latvijas Republikas normatīvo aktu viedokļa, bet arī no saimnieciski ekonomiskiem principiem.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Rasa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Šo noteikumu </w:t>
            </w:r>
            <w:r w:rsidR="00000000" w:rsidRPr="00000000" w:rsidDel="00000000">
              <w:rPr>
                <w:rtl w:val="0"/>
              </w:rPr>
              <w:t xml:space="preserve">23.</w:t>
            </w:r>
            <w:r w:rsidR="00000000" w:rsidRPr="00000000" w:rsidDel="00000000">
              <w:rPr>
                <w:rtl w:val="0"/>
              </w:rPr>
              <w:t xml:space="preserve"> punktā noteikto atbalstāmo darbību īstenošanai plāno kompensācijas izmaksas par darba tiesisko attiecību izbeigšanu.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un, ja attiecināms, precizēt atsauci uz noteikumu projekta punktu, t.i., aizstājot skaitli "23" ar skaitli "19.1.4."</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Darja Zaharova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Šo noteikumu </w:t>
            </w:r>
            <w:r w:rsidR="00000000" w:rsidRPr="00000000" w:rsidDel="00000000">
              <w:rPr>
                <w:rtl w:val="0"/>
              </w:rPr>
              <w:t xml:space="preserve">23.</w:t>
            </w:r>
            <w:r w:rsidR="00000000" w:rsidRPr="00000000" w:rsidDel="00000000">
              <w:rPr>
                <w:rtl w:val="0"/>
              </w:rPr>
              <w:t xml:space="preserve"> punktā noteikto atbalstāmo darbību īstenošanai plāno kompensācijas izmaksas par darba tiesisko attiecību izbeigšanu.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lūdzu skaidrot, kādi normatīvie dokumenti nosaka izmaksājamo kompensāciju apjomu un izmaksu kārtību.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Rasa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Nozares ministrija izvērtē un sniedz atzinumu atbalsta sniedzējam par finansējuma saņēmēja investīcijas otrās kārtas projekta iesnieguma atbilstību šādiem kvalitātes kritērijiem: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norādot, cik ilgā laikā nozares ministrija izvērtē un sniedz atzinumu par atbilstību kvalitātes kritērijiem.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Rasa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46.6. investīcijas otrās kārtas projekta plānoto darbību sinerģija un demarkācija: investīcijas otrās kārtas projekta darbībām ir skaidri norādīta sinerģija un demarkācija ar konsolidējamās un konsolidējošās iestādes veiktajiem ieguldījumiem Eiropas Savienības fondu 2014. - 2020. gada plānošanas periodā īstenotām darbībām vai plānotiem ieguldījumiem Eiropas Savienības fondu 2021. - 2027. gada plānošanas periodā.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noteikumu 46.6.apakšpunktā nosaukumu "Eiropas Savienības fondu" pirms skaitļa "2014" ar nosaukumu "Eiropas Savienības struktūrfondu un Kohēzijas fonda".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Darja Zaharova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izziņas 154.punktā (informācija par investīcijas sasaisti ar Zaļo dimensiju atbilstoši AF plāna 2.pielikumā noteiktajam) ietverto IZM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Naudiņa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saskaņot anotāciju ar MK noteikumu projekta redakciju attiecībā uz MK noteikumu projektā 10.punktā norādīto Atbalsta sniedzēja atbildībā esošo investīcijas mērķa un uzraudzības rādītāju uzraudzību. Pašreizējā redakcija anotācijā "Attiecībā uz iepriekš minēto rādītāju uzraudzību noteikumu projekta 10.punktā paredzēts, ka noteikumu projekta 7.punktā noteikto investīcijas mērķa un uzraudzības rādītāju uzraudzību veiks Atbalsta sniedzējs" atšķiras no MK noteikumu projektā norādītās informācijas.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Baranovska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pašreizējo tekstu anotācijā "Atbalstāmās darbības var iedalīt sešās galvenās grupās", ar tekstu "Atbalstāmās darbības var iedalīt piecās galvenajās grupās".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Baranovska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norādītā uzraudzības rādītāja "noslēgti akadēmiskās karjeras grantu līgumi" sasniedzamo vērtību, atbilstoši MK noteikumu projektā norādītajai vērtībai "157", pašreizējā redakcijā anotācijā norādītā vērtība ir "vismaz 158".</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Baranovska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līdz 2026.gada 30.jūnijam sasniedzamā mērķa rādītāja definīciju atbilstoši MK noteikumu projektā 7.2.3.apakšpunktā norādītajai redakcijai "ieviesti 4 konsolidācijas plāni", pašreizējā redakcija anotācijā "noslēgtie konsolidācijas grantu līgumi - vismaz 4".</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Baranovska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MK noteikumu projekta 7.1.apakšpunktu, vismaz 4 konsolidācijas plānu saskaņošana plānota līdz 2023.gada 30.jūnijam, savukārt anotācijā norādītais mērķa rādītāja sasniegšanas termiņš ir līdz 2023.gada 31.decembrim - lūdzam precizēt tehnisko neprecizitāti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Baranovska (CFLA)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22-TA-2792</w:t>
    </w:r>
    <w:r>
      <w:br/>
    </w:r>
    <w:r w:rsidR="00000000" w:rsidRPr="00000000" w:rsidDel="00000000">
      <w:rPr>
        <w:rtl w:val="0"/>
      </w:rPr>
      <w:t xml:space="preserve">Izdrukāts 17.04.2023. 15.39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22-TA-2792</w:t>
    </w:r>
    <w:r>
      <w:br/>
    </w:r>
    <w:r w:rsidR="00000000" w:rsidRPr="00000000" w:rsidDel="00000000">
      <w:rPr>
        <w:rtl w:val="0"/>
      </w:rPr>
      <w:t xml:space="preserve">Izdrukāts 17.04.2023. 15.39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Atzinumi_22-TA-2792.docx</dc:title>
</cp:coreProperties>
</file>

<file path=docProps/custom.xml><?xml version="1.0" encoding="utf-8"?>
<Properties xmlns="http://schemas.openxmlformats.org/officeDocument/2006/custom-properties" xmlns:vt="http://schemas.openxmlformats.org/officeDocument/2006/docPropsVTypes"/>
</file>