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"ZAB MPKV"</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 sadarbības tīkla dalībnieku, izņemot pētniecības un zināšanu izplatīšanas orgnizācijas, sīkā (mikro), mazā, vidējā komersanta deklarāciju;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 noteikuma projekta 21.4.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projektu tiek turpināta 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trešās kārtas īstenošana. Tāpat kā noteikumu projekts arī AF 5.1.1.2.i. trešās kārta paredz prasību iesniedzot projektu un visā tā īstenošanas laikā nodrošināt, ka sadarbības tīklus pārstāv ne mazāk kā 30 savstarpēji nesaistīti sadarbības tīkla dalībnieki - komersanti. Iesniedzot AF 5.1.1.2.i. trešās kārtas projekta pieteikumu, tam nebija jāpievieno sadarbības tīkla dalībnieku MVK deklarācijas.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noteikumu projektā ieviestā prasība, ka kopā ar projekta iesniegumu ir jāiesniedz sadarbības tīkla dalībnieku – vismaz 30 komersantu MVK deklarācijas, ir uzskatāma par nesamērīgi liela administratīvā sloga radīšanu projektu iesniedzējiem, tādēļ lūdzam svītrot no noteikuma projekta 21.4.punktu.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Pārtikas uzņēmumu federācija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Sadarbības tīkla attiecināmās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punktā ir uzskaitītas izmaksas, kas ir attiecināmas uz pašu sadarbības tīklu, taču noteikumu projektā nav skaidri norādīts, kāda atbalsta intensitāte, izņemot projekta vadības un personāla izmaksas, ir paredzēta šīm aktivitātēm, piemēram, starptautisku projektu rakstīšanai, mārketinga un atpazīstamības veicināšanai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norādot atbalsta intensitāti, kas tiks piemērota uz sadarbības tīklu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Pārtikas uzņēmumu federācija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Vienkāršoto izmaksu vienotā izmaksu likme šo noteikumu </w:t>
            </w:r>
            <w:r w:rsidR="00000000" w:rsidRPr="00000000" w:rsidDel="00000000">
              <w:rPr>
                <w:rtl w:val="0"/>
              </w:rPr>
              <w:t xml:space="preserve">28.1.1.</w:t>
            </w:r>
            <w:r w:rsidR="00000000" w:rsidRPr="00000000" w:rsidDel="00000000">
              <w:rPr>
                <w:rtl w:val="0"/>
              </w:rPr>
              <w:t xml:space="preserve"> un </w:t>
            </w:r>
            <w:r w:rsidR="00000000" w:rsidRPr="00000000" w:rsidDel="00000000">
              <w:rPr>
                <w:rtl w:val="0"/>
              </w:rPr>
              <w:t xml:space="preserve">28.1.4.</w:t>
            </w:r>
            <w:r w:rsidR="00000000" w:rsidRPr="00000000" w:rsidDel="00000000">
              <w:rPr>
                <w:rtl w:val="0"/>
              </w:rPr>
              <w:t xml:space="preserve"> apakšpunktā minētajām personāla izmaksām, kas attiecināmas uz šo noteikumu </w:t>
            </w:r>
            <w:r w:rsidR="00000000" w:rsidRPr="00000000" w:rsidDel="00000000">
              <w:rPr>
                <w:rtl w:val="0"/>
              </w:rPr>
              <w:t xml:space="preserve">26.1. </w:t>
            </w:r>
            <w:r w:rsidR="00000000" w:rsidRPr="00000000" w:rsidDel="00000000">
              <w:rPr>
                <w:rtl w:val="0"/>
              </w:rPr>
              <w:t xml:space="preserve">apakšpunktā</w:t>
            </w:r>
            <w:r w:rsidR="00000000" w:rsidRPr="00000000" w:rsidDel="00000000">
              <w:rPr>
                <w:rtl w:val="0"/>
              </w:rPr>
              <w:t xml:space="preserve"> minētās darbības īstenošanu, ir 20 procentu no pārējām tiešajām attiecināmajām izmaksām, neieskaitot personāla izmaksas, atbilstoši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55. panta 1.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noteikuma projekta 29.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24.10.2023. MK noteikumi Nr. 609 “Latvijas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trešās kārtas īstenošanas noteikumi” nosaka, ka noteikumu projekta 29. punktā minēto izmaksu segšanai ierobežojums ir 35% no projekta kopējām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Pretēji Ekonomikas ministrijas izziņā minētajam ar noteikumu projektu tiek būtiski samazinātas pieļaujamās projektu vadības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izriet no 29.punktā minētā, personāla izmaksas tiek noteiktas 20% apmērā no tiešajām attiecināmajām izmaksām, kurās netiek iekļautas plānotās personāla izmaksas. Savukārt noteikumu projekta izziņā Ekonomikas ministrija ir veikusi projekta vadības un personāla izmaksu aprēķinu no kopējā vienam projekta iesniegumam maksimāli pieļaujamā finansējuma apjoma. Līdz ar to pieļaujamās projekta vadības izmaksas viennozīmīgi būs mazākas par izziņā norādītajiem 162`996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AF 5.1.1.2.i. trešās kārtas ietvaros izmaksas, tajā skaitā personāla, ir attiecināmas maksimums par 30 mēnešu ilgu laikposmu. Tā kā Ekonomikas ministrija noteikumu projekta izziņā salīdzina projekta vadības un personāla izmaksas starp AF 5.1.1.2.i. trešo kārtu un noteikumu projektu, tad secināms, ka ministrija plāno uzsākt jauno projektu īstenošanu tikai 2027. gadā, kas nav pieļaujams no tautsaimniecībai tik būtiska atbalsta instrumenta nepārtrauktības nodrošināšanas, vai arī izmantotais salīdzinājums nav korekts un ar noteikumu projektu tiks būtiski samazinātas projektu vadības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Samazinot projektu vadības izmaksas, projektu īstenotājiem, būs jāmaina izveidotā projektu vadības struktūra un jāsamazina projekta īstenošanas personāla skaits, kas ilgtermiņa var negatīvi ietekmēt paredzēto aktivitāšu īstenošanu. Tādēļ rosinām labot noteikumu projekta 29. punktu un noteikt projekta vadības un personāla izmaksas ekvivalentā apmērā AF 5.1.1.2.i. trešās kārtas ietvaros noteiktajam apjomam.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Pārtikas uzņēmumu federācija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Šo noteikumu ietvaros ir attiecināmas netiešās projekta īstenošanas izmaksas šo noteikumu </w:t>
            </w:r>
            <w:r w:rsidR="00000000" w:rsidRPr="00000000" w:rsidDel="00000000">
              <w:rPr>
                <w:rtl w:val="0"/>
              </w:rPr>
              <w:t xml:space="preserve">29. </w:t>
            </w:r>
            <w:r w:rsidR="00000000" w:rsidRPr="00000000" w:rsidDel="00000000">
              <w:rPr>
                <w:rtl w:val="0"/>
              </w:rPr>
              <w:t xml:space="preserve">punktā</w:t>
            </w:r>
            <w:r w:rsidR="00000000" w:rsidRPr="00000000" w:rsidDel="00000000">
              <w:rPr>
                <w:rtl w:val="0"/>
              </w:rPr>
              <w:t xml:space="preserve"> minēto darbību veikšanai. Netiešās attiecināmās izmaksas sadarbības tīkls plāno kā vienu izmaksu pozīciju, piemērojot netiešo izmaksu vienoto likmi 15 % apmērā no šo noteikumu </w:t>
            </w:r>
            <w:r w:rsidR="00000000" w:rsidRPr="00000000" w:rsidDel="00000000">
              <w:rPr>
                <w:rtl w:val="0"/>
              </w:rPr>
              <w:t xml:space="preserve">28.1.1.</w:t>
            </w:r>
            <w:r w:rsidR="00000000" w:rsidRPr="00000000" w:rsidDel="00000000">
              <w:rPr>
                <w:rtl w:val="0"/>
              </w:rPr>
              <w:t xml:space="preserve"> un </w:t>
            </w:r>
            <w:r w:rsidR="00000000" w:rsidRPr="00000000" w:rsidDel="00000000">
              <w:rPr>
                <w:rtl w:val="0"/>
              </w:rPr>
              <w:t xml:space="preserve">28.1.4.</w:t>
            </w:r>
            <w:r w:rsidR="00000000" w:rsidRPr="00000000" w:rsidDel="00000000">
              <w:rPr>
                <w:rtl w:val="0"/>
              </w:rPr>
              <w:t xml:space="preserve"> apakšpunktā minētajām tiešajām attiecināmajām personāla izmaksām, kas attiecināmas uz šo noteikumu </w:t>
            </w:r>
            <w:r w:rsidR="00000000" w:rsidRPr="00000000" w:rsidDel="00000000">
              <w:rPr>
                <w:rtl w:val="0"/>
              </w:rPr>
              <w:t xml:space="preserve">26.1. </w:t>
            </w:r>
            <w:r w:rsidR="00000000" w:rsidRPr="00000000" w:rsidDel="00000000">
              <w:rPr>
                <w:rtl w:val="0"/>
              </w:rPr>
              <w:t xml:space="preserve">apakšpunktā</w:t>
            </w:r>
            <w:r w:rsidR="00000000" w:rsidRPr="00000000" w:rsidDel="00000000">
              <w:rPr>
                <w:rtl w:val="0"/>
              </w:rPr>
              <w:t xml:space="preserve"> minētās darbības īstenošanu, saskaņā ar regulas 2021/1060 54. panta pirmās daļas "b"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29. punktā nav minētas projekta darbības, uz kurām varētu tikt attiecinātas netiešās projekta īstenošanas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30.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Pārtikas uzņēmumu federācija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Maksimāli pieļaujamā sadarbības tīkla dalībnieku finansējuma intensitāte ir šāda: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atbalsta intensitātes samazināšanu un tās diferencētu piemērošanu atkarībā no komersanta lieluma.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Sadarbības tīkla atbalsta instruments ir pierādījis, ka tas ir viens no efektīvākajiem mehānismiem sadarbības tīklu dalībnieku internacionalizācijas, eksporta un savstarpējās sadarbības veicināšanai. Tādēļ nav saprotams, kādēļ Ekonomikas ministrija plāno samazināt atbalsta intensitāti sadarbības tīkla dalībniekiem, riskējot samazināt Latvijas komersantu, it īpaši mazo un vidējo, globālo konkurētspēju un izaugsmes tempus.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Virkne no noteikumu projektā minētajām darbībām, kuru izmaksas tiek attiecinātas uz sadarbības tīkla dalībniekiem, ir ar lielu finansiālo ietilpību. Tik būtiski samazinot atbalsta intensitāti, pastāv liela iespējamība, ka daudzas darbības, kas līdz šim tika īstenotas ar šī atbalsta mehānisma palīdzību, turpmāk netiks īstenotas.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projektu samazinātā atbalsta intensitāte, it īpaši lielajiem komersantiem, ir pārāk zema, lai motivētu tos iesaistīties sadarbības tīkla projektā. Tādā veidā projektos tiks apdraudēta pētniecības un attīstības aktivitāšu īstenošana, kur ļoti liela loma ir lielajiem komersantiem, un pretēji pasākuma mērķim tiks bremzēta efektīva sadarbība starp lielajiem komersantiem un pārējiem sadarbības tīkla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diferencētas atbalsta intensitātes ieviešana atkarībā no komersanta lieluma sarežģīs programmas ieviešanas un administrēšanas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saglabāt līdzšinējo pieeju un visiem sadarbības tīkla dalībniekiem neatkarīgi no to lieluma noteikt vienādu atbalsta intensitāti 85%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Pārtikas uzņēmumu federācija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Sadarbības tīkls par katru sadarbības tīkla dalībnieku vismaz reizi gadā kopā ar maksājuma pieprasījumu iesniedz vadības informācijas sistēmā, vai pēc atbildīgās iestādes pieprasījuma 10 darbdienu laikā iesniedz atbildīgajai iestādei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39. punkts paredz neadekvāti lielu administratīvo slogu gan sadarbības tīkla, gan komersantu līmenī saistībā ar dažādu datu un rādītāju vākšanu, uzkrāšanu un iesniegšanu.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dzēst no noteikuma projekta 39.8., 39.10., 39.11., 39.13., 39.14. un 39.15. apakšpunktus. Šajos apakšpunktos norādītajiem datiem, kas tiek prasīti iesniegt atbildīgajai iestādei, nav nekāda sakara ar pasākuma mērķi (39.8., 39.10. un 39.11. apakšpunkti), tie dublējas (39.13. un 39.14. apakšpunktā minētā informācija dublē 39.12. apakšpunktu) vai prasītajā griezumā un detalizācijas pakāpē vispār nav iespējams datus iegūt (39.15.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Pārtikas uzņēmumu federācija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46.8. veikt atbalsta piešķiršanu, aprēķināšanu un uzskaiti sadarbības tīkla dalībniekiem atbilstoši šo noteikumu </w:t>
            </w:r>
            <w:r w:rsidR="00000000" w:rsidRPr="00000000" w:rsidDel="00000000">
              <w:rPr>
                <w:rtl w:val="0"/>
              </w:rPr>
              <w:t xml:space="preserve">24.2.</w:t>
            </w:r>
            <w:r w:rsidR="00000000" w:rsidRPr="00000000" w:rsidDel="00000000">
              <w:rPr>
                <w:rtl w:val="0"/>
              </w:rPr>
              <w:t xml:space="preserve"> un </w:t>
            </w:r>
            <w:r w:rsidR="00000000" w:rsidRPr="00000000" w:rsidDel="00000000">
              <w:rPr>
                <w:rtl w:val="0"/>
              </w:rPr>
              <w:t xml:space="preserve">24.3.</w:t>
            </w:r>
            <w:r w:rsidR="00000000" w:rsidRPr="00000000" w:rsidDel="00000000">
              <w:rPr>
                <w:rtl w:val="0"/>
              </w:rPr>
              <w:t xml:space="preserve"> apakšpunktam, nodrošinot, ka tiek ievērota dzimumu līdztiesība un vienlīdzīgu iespēju princips;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24.2. un 24.3. apakšpunkti nenosaka kārtību atbalsta piešķiršanai, aprēķināšanai un uzskaitei.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46.8. apakšpunkta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Pārtikas uzņēmumu federācija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46.12. elektroniskā veidā dokumentēt lēmuma pieņemšanu par atbalsta piešķiršanu sadarbības tīkla dalībniekam;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46.12. apakšpunktu, kas rada lieku administratīvo slogu projekta īstenotājiem.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paskaidrot, ko nozīmē termins elektroniskā veidā dokumentēt, jo līdzšinējā projektu īstenošanas pieredzē ar šādu terminu projekta īstenošanā neesam sakārušies.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izziņā Ekonomikas ministrija norāda, ka šāda prasība tiek ieviesta tikai tādēļ, lai varētu identificēt personas, kas pieņem pozitīvu vai negatīvu lēmumu par atbalsta sniegšanu, tādā veidā pēc ministrijas domām mazinot interešu konflikta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52. punktu sadarbības tīkla projekta īstenošanas un projekta vadības personālam, kā arī personām, kuras pieņem lēmumu par atbalsta piešķiršanu sadarbības tīkla dalībniekam, pirms vērtēšanas procesa uzsākšanas ir jāparaksta objektivitātes, konfidencialitātes un interešu konflikta neesības apliecinājums. Attiecīgi visas personas, kuras ir iesaistītas lēmuma pieņemšanā par atbalsta piešķiršanu vai noraidīšanu ir identificējamas pēc apliecinājumiem.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Pārtikas uzņēmumu federācija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Sadarbības tīkls pēc noslēguma maksājuma pieprasījuma iesniegšanas un piecus gadus pēc tam pārbauda sadarbības tīkla dalībnieka eksporta apjoma un produktivitātes pieaugumu.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55. punktu un precizēt 39.7.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nav paredzēti cilvēkresursi sadarbības tīklam, lai izpildītu 39.7. apakšpunktā minēto prasību, apkopot sadarbības tīkla dalībnieku eksporta apjomus piecus gadus pēc noslēguma maksājuma pieprasījuma iesniegšanas, un vēl jo vairāk, lai tos pārbaudītu, kā izriet no noteikumu projekta 55. 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Eksporta un produktivitātes rādītāju apkopošanai ir nepieciešami ievērojami cilvēkresursi, kas pēc projekta īstenošanas sadarbības tīklam vairs nebūs pieejami. Līdz ar to noteikt tik ilgu uzraudzības periodu šo rādītāju kontrolei ir nesamērīgi liels finansiālais slogs sadarbības tīklam.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Pārtikas uzņēmumu federācija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02.07.2024. 12.40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02.07.2024. 12.40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Atzinumi_23-TA-2461.docx</dc:title>
</cp:coreProperties>
</file>

<file path=docProps/custom.xml><?xml version="1.0" encoding="utf-8"?>
<Properties xmlns="http://schemas.openxmlformats.org/officeDocument/2006/custom-properties" xmlns:vt="http://schemas.openxmlformats.org/officeDocument/2006/docPropsVTypes"/>
</file>