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23-TA-3061: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nekustamo īpašumu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(Paskaidrojošie materiāli)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nekustamo īpašumu (nekustamā īpašuma kadastra Nr. 9813 005 0101) – zemes vienību (zemes vienības kadastra apzīmējums  9813 005 0101) 0,4201 ha platībā, maizes ceptuvi (būves kadastra apzīmējums 9813 005 0101 001), noliktavu (būves kadastra apzīmējums 9813 005 0101 002) – Zemnieku ielā 2, Piltenē, Ventspils novadā, kopā ar minētā nekustamā īpašuma sastāvā esošo sūkņu staciju (būves kadastra apzīmējums 9813 005 0110 001) – Jelgavas ielā 8, Piltenē, Ventspils novadā;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Gan no rīkojuma projekta anotācijas, gan no rīkojuma projektam pievienotajiem dokumentiem izriet, ka būve (sūkņu stacija (būves kadastra apzīmējums 9813  005 0110 001)) Jelgavas ielā 8, Piltenē, Ventspils novadā) ietilpst nekustamā īpašuma Zemnieku ielā 2, Piltenē, Ventspils novadā, sastāvā. Līdz ar to nav pamatota norāde rīkojuma projekta 1.1. apakšpunktā, ka valsts akciju sabiedrība “Valsts nekustamie īpašumi” pārdotu izsolē nekustamo īpašumu Zemnieku ielā 2, Piltenē, Ventspils novadā,</w:t>
            </w:r>
            <w:r w:rsidR="00000000" w:rsidRPr="00000000" w:rsidDel="00000000">
              <w:rPr>
                <w:b w:val="1"/>
                <w:rtl w:val="0"/>
              </w:rPr>
              <w:t xml:space="preserve"> kopā ar</w:t>
            </w:r>
            <w:r w:rsidR="00000000" w:rsidRPr="00000000" w:rsidDel="00000000">
              <w:rPr>
                <w:rtl w:val="0"/>
              </w:rPr>
              <w:t xml:space="preserve"> minētā nekustamā īpašuma sastāvā esošo sūkņu staciju. Proti, nav saprotams, kādēļ rīkojuma projektā uzsvērts, ka minētā būve, kura zemesgrāmatā reģistrēta atsavināmā nekustamā īpašuma sastāvā, tiks pārdota izsolē kopā ar atsavināmo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būve (sūkņu stacija) ietilpst atsavināmā nekustamā īpašuma sastāvā, tad, Tieslietu ministrijas ieskatā, nevar būt šaubas par to, ka šī būve atsavināma kopā ar nekustamo īpašumu. Līdz ar to šobrīd rīkojuma projekta 1.1. apakšpunkts rada neskaidrību.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 rīkojuma projekta 1.1. apakšpunktu, norādot sūkņu staciju kā nekustamā īpašuma sastāvā esošu būvi tāpat, kā tas norādīts attiecībā uz abām pārējām nekustamā īpašuma sastāvā esošajām būvēm.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Vingris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23-TA-3061</w:t>
    </w:r>
    <w:r>
      <w:br/>
    </w:r>
    <w:r w:rsidR="00000000" w:rsidRPr="00000000" w:rsidDel="00000000">
      <w:rPr>
        <w:rtl w:val="0"/>
      </w:rPr>
      <w:t xml:space="preserve">Izdrukāts 15.12.2023. 17.37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23-TA-3061</w:t>
    </w:r>
    <w:r>
      <w:br/>
    </w:r>
    <w:r w:rsidR="00000000" w:rsidRPr="00000000" w:rsidDel="00000000">
      <w:rPr>
        <w:rtl w:val="0"/>
      </w:rPr>
      <w:t xml:space="preserve">Izdrukāts 15.12.2023. 17.37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Atzinumi_23-TA-3061.docx</dc:title>
</cp:coreProperties>
</file>

<file path=docProps/custom.xml><?xml version="1.0" encoding="utf-8"?>
<Properties xmlns="http://schemas.openxmlformats.org/officeDocument/2006/custom-properties" xmlns:vt="http://schemas.openxmlformats.org/officeDocument/2006/docPropsVTypes"/>
</file>