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apakšpunktā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mērķa aprakstā ir ietverams ar tiesību aktu sasniedzamais rezultāts, nevis uzskaitāmi atsevišķi regulējuma risinājumi vai konkrētas tiesību normas. Šobrīd mērķa aprakstā vienlaikus ietverti vairāki atšķirīgi regulējuma elementi, tostarp veselības datu digitalizācija, maldinošas komercprakses ierobežošana, līgumattiecību regulējums starp Nacionālo veselības dienestu un veselības aprūpes pakalpojumu sniedzējiem, kā arī psihiatru resursu izmantošanas jautājumi, tādēļ nav skaidri identificējams vienots regulējuma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mērķa aprakstu pārstrukturēt, fokusējoties uz tiesību akta kopējo mērķi – pilnveidot veselības aprūpes sistēmas darbību, veicinot veselības datu digitalizāciju un pieejamību, uzlabojot veselības aprūpes pārvaldības mehānismus un stiprinot pacientu interešu aizsardzību, savukārt detalizētāku informāciju par konkrētajiem regulējuma risinājumiem ietvert anotācijas 1.3.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ietverto administratīvo izmaksu monetāro novērtējumu attiecībā uz pārejas noteikumu 50. punktā paredzēto pienākumu veikt nosaukuma maiņu, kas attiecināts uz komersantiem (SIA).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 stundas likme, subjektu skaits un prasības izpildes biežums, taču nav aizpildīts laika patēriņš, kas ir viens no administratīvo izmaksu aprēķina obligātajiem parametriem. Līdz ar to nav izsekojams aprēķina rezultāta veidošanās pamatojums un administratīvo izmaksu monetārais novērtējums nav uzskatāms par pabeigtu.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aprēķina skaidrojumā sniegtais apraksts par Uzņēmumu reģistrā iesniedzamajiem dokumentiem un valsts nodevas apmēru ir nepabeigts un neļauj nepārprotami saprast, kādas darbības un izmaksas ir iekļautas monetārajā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aprēķinu ar laika patēriņa novērtējumu un precizēt aprēķina skaidrojumu, nodrošinot iespēju izsekot izmantotajiem pieņēmumiem un aprēķina loģikai.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ietverto ietekmes aprakstu attiecībā uz Ārstniecības likuma 10.³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paredzētais regulējums attiecas uz līgumattiecību un atbildības regulējumu starp Nacionālo veselības dienestu un ārstniecības iestādēm vai aptiekām, paredzot līgumos iekļaut nosacījumus par zaudējumu atlīdzināšanu un līgumsoda piemērošanu Ministru kabineta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pats par sevi nenosaka informācijas sniegšanas pienākumus vai citas administratīvās darbības, kuru izpilde radītu administratīvo slogu privāto tiesību subjektiem. Līdz ar to nav pamata norādīt, ka administratīvā sloga monetārais novērtējums būs veicams attiecīgo Ministru kabineta noteikumu izstrādes laikā. Ja deleģējuma izpildes tiesību aktā tiks paredzēti konkrēti informācijas sniegšanas pienākumi vai atbilstības prasības, to ietekme būs vērtējama attiecīgā tiesību akta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ietekmes izvērtējumu attiecībā uz Ārstniecības likuma 78.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norma paredz ārstniecības iestādei pienākumu pacienta veselības datu sniegšanu veselības informācijas sistēmai un piekļuvi tajā uzkrātajiem datiem nodrošināt, izmantojot veselības informācijas sistēmas lietotāja saskarni vai pacientu datu apstrādes informācijas sistēmu, kas saņēmusi licenci. Minētais regulējums pēc būtības ir saistīts ar atbilstības prasībām ārstniecības iestādēm, nevis ar informācijas sniegšanas pienākumiem. Attiecīgi lūdzam izvērtēt nepieciešamību minēto ietekmi atspoguļot anotācijas 2.5. apakšpunktā, nevis 2.3.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norādāms, ka minētās prasības nenosaka atbilstības prasības identificētajām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pacientu datu apstrādes sistēmu izstrādātāji un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"Latvijas Digitālās veselības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attiecībā uz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Ārstniecības likuma 78. panta sestā daļa neuzliek informācijas sniegšanas pienākumus vai citas administratīvas darbības SIA "Latvijas Digitālās veselības centrs", bet nosaka prasības ārstniecības iestādēm attiecībā uz veselības informācijas sistēmas izmantošanu. Līdz ar to nav pamata minēto normu identificēt kā administratīvo slogu SIA "Latvijas Digitālās veselības centrs" vai norādīt, ka šai mērķa grupai administratīvā sloga novērtējums būs veicams vēlāk.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apakšpunktā ietverto ietekmes izvērtējumu attiecībā uz Ārstniecības likuma 55.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55. panta trešajā daļā ietvertais aizliegums izmantot komersanta vai saimnieciskās darbības veicēja nosaukumā, izkārtnē vai tīmekļvietnē maldinošus apzīmējumus pats par sevi neparedz informācijas sniegšanas pienākumus vai citas administratīvas darbības, kuru izpilde radītu administratīvās izmaksas. Minētā norma nosaka vispārīgu prasību attiecībā uz turpmāk izvēlētajiem nosaukumiem un apzīmējumiem, bet neuzliek pienākumu veikt konkrētas darbības tās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nepieciešamību minēto ietekmi atspoguļot administratīvo izmaksu monetārā novērtējuma sadaļā. Ja tiek secināts, ka norma nerada administratīvo slogu, ietekmi būtu lietderīgi aprakstīt kvalitatīvi anotācijas 2.1. apakšpunktā, raksturojot regulējuma ietekmi uz komersantu iespējām izvēlēties nosaukumus un citus komercdarbībā izmantotos apzīmējumus, nevis norādīt monetārā novērtējuma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ietverto administratīvo izmaksu monetāro novērtējumu attiecībā uz pārejas noteikumu 50. punktā paredzēto pienākumu individuālajiem komersantiem veikt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sniegts pietiekams pamatojums aprēķinā izmantotajai stundas samaksas likmei 7,20 euro apmērā. No aprēķina skaidrojuma nav izsekojams, kāpēc konkrētās mērķa grupas administratīvo darbību izmaksu novērtēšanai izmantota tieši skaistumkopšanas pakalpojumu nozares vidējā stundas tarifa likme, lai gan regulējums var skart dažādus pakalpojumu sniedzējus cilvēka veselības jomā, kuri nav ārstniecības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aprēķinā izmantoto laika patēriņa novērtējumu. Aprēķina skaidrojumā norādīts, ka prasības izpildei nepieciešams iesniegt iesniegumu un informāciju par valsts nodevas apmaksu. Attiecīgi no apraksta izriet vairākas administratīvās darbības, tostarp iesnieguma sagatavošana, valsts nodevas samaksas veikšana, apmaksu apliecinošās informācijas iegūšana un dokumentu iesniegšana Uzņēmumu reģistrā. Vienlaikus anotācijā nav sniegts pamatojums, kā noteikts, ka visu minēto darbību veikšanai nepieciešamas vidēji 10 minūtes.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aprēķina skaidrojumu, pamatojot izmantotās vērtības un pieņēmumus, lai būtu iespējams izsekot administratīvo izmaksu monetārā novērtējuma aprēķina loģikai.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atbilstības prasību izmaksu novērtējuma skaidrojuma sadaļā lūdzam norādīt, uz kuriem likumprojekta pantiem, panta daļām vai to punktiem attiecas veiktais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likumprojekta anotācijas 6.3.apakšpunktā aprakstošā veidā sniegt informāciju par publiskās apspriešanas norisi, rezultātiem, dalībnieku izteiktajiem viedokļiem un ministrijas nostāju par tiem. Minētā informācija ir būtiska, lai ikviens interesents bez papildu dokumentu atvēršanas gūtu priekšstatu par sabiedrības līdzdalības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11.06.2026. 08.50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11.06.2026. 08.50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