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devēja izmaksātās slimības naudas, VSAOI un vienreizējās darba algas kompensācijām ir grantu atbalstam līdzīgs raksturs jeb noteiktam mērķim piešķirta neatmaksājama naudas summa, aicinam paredzēt, ka "Uzņēmums daļēji sadalīt peļņā drīkst peļņas daļu, kas pārsniedz kalendārajā gadā saņemto darba devēja izmaksātās slimības naudas, VSAOI un vienreizējās darba algas kompensāciju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ziņojuma punktu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Uzņēmums daļēji sadalīt peļņā drīkst peļņas daļu, kas pārsniedz kalendārajā gadā saņemto darba devēja izmaksātās slimības naudas, VSAOI un vienreizējās darba algas kompensāciju kopsummu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09.10.2023.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09.10.2023.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Atzinumi_23-TA-1220.docx</dc:title>
</cp:coreProperties>
</file>

<file path=docProps/custom.xml><?xml version="1.0" encoding="utf-8"?>
<Properties xmlns="http://schemas.openxmlformats.org/officeDocument/2006/custom-properties" xmlns:vt="http://schemas.openxmlformats.org/officeDocument/2006/docPropsVTypes"/>
</file>