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atbilstoši Valsts kancelejas izstrādātajām ”Vadlīnijām tiesību aktu projektu sākotnējās ietekmes novērtēšanai un novērtējumu ziņojuma sagatavošanai vienotajā tiesību aktu izstrādes saskaņošanas portālā”, 2. sadaļas 2.1. punktā norādīto informāciju par administratīvo un atbilstības izmaksu samazinājumu norādīt atbilstošajos anotācijas 2. sadaļas 2.3. (Administratīvo izmaksu monetārs novērtējums) un 2.4. (Atbilstības izmaksu monetārs novērtējums) punktos. Vienlaikus norādām, ka gadījumā, ja nav zināms personu (lietotāju skaits, kas izmanto elektronisko ierīču un iekārtas) skaits, tad atbilstības izmaksu samazinājumu rēķina uz 1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Miķelsons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23.09.2025.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23.09.2025.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