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5.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 punktā ietverto MK noteikumu Nr. 1065 5.4. apakšpunktu, jo tajā nav norādīta konkrēta atmaksu summa, proti, Ministru kabinetam, lemjot par programmas budžetu, jālemj par konkrētu summu, nevis par neierobežotu atmaksu finansējuma avotu. Vienlaikus lūdzam izvērtēt un sniegt pamatojumu attiecīgajam grozījumam anotācijā, kā arī papildināt anotāciju ar skaidrojumu par tā atbilstību apstiprinātajam programmas rādītāju novērtējumam, kas Altum jāievēro programmas īstenošanā, t.sk. attiecībā uz tajā norādīto Altum pieejamo publisko finansējumu aizdevumu programmas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5.</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 punktā ietverto MK noteikumu Nr.1065 5.</w:t>
            </w:r>
            <w:r w:rsidR="00000000" w:rsidRPr="00000000" w:rsidDel="00000000">
              <w:rPr>
                <w:vertAlign w:val="superscript"/>
                <w:rtl w:val="0"/>
              </w:rPr>
              <w:t xml:space="preserve">3</w:t>
            </w:r>
            <w:r w:rsidR="00000000" w:rsidRPr="00000000" w:rsidDel="00000000">
              <w:rPr>
                <w:rtl w:val="0"/>
              </w:rPr>
              <w:t xml:space="preserve"> punktu, norādot finansējuma apmēru, līdz kādam Sabiedrība "Altum” var piesaistīt papildus resursus no starptautiskajām finanšu institūcijām vai finanšu tirgos. Vienlaikus lūdzam papildināt anotāciju, skaidrojot, kā attiecīgais finansējuma apmērs ir noteikts.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"virssaistību" anotācijas 1.3.sadaļas apakšsadaļā "Pašreizējā situācija". Vēršam uzmanību, ka Ministru kabineta 2020. gada 16. jūnijā noteikumu Nr. 383 “Noteikumi par garantijām saimnieciskās darbības veicējiem konkurētspējas uzlabošanai” 7.4.apakšpunktā termins "virssaistību finansējums" ir lietots kļūdaini, jo tās nav virssaistības, bet valsts budžets, kas ir nepieciešams ERAF līdzfinansējuma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apakšsadaļā "Izmaiņas sasniedzamajos rādītājos" sniegto informāciju, norādot, ka 2022.gada React-EU finansējums tika piešķirts ar darbības programmas "Izaugsme un nodarbinātība" grozījumiem Nr.8, līdz ar to rādītāji vairs nav jānorāda dalījumā pa React-EU piešķīruma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rādītāji tika sadalīti pa gadiem, norādot, kādas rādītāju vērtības plānots sasniegt no katra React-EU piešķīruma gada, nevis rādītāju sasniegšanas gadi. Visu React-EU rādītāju sasniegšanas gala termiņš ir 2023.gada 31.decembris.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anotācijas 1.3. sadaļas apakšsadaļas “Risinājuma apraksts Izmaiņas finansējumā” pirmo rindkopu, lai tajā ietvertais konteksts būtu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(vai arī TAP portālā veikt atbilstošu atzīmi), norādot, ka noteikumu projekts ir saistīts un tiek virzīts apstiprināšanai Ministru kabinetā vienlaikus ar Ekonomikas ministrijas saskaņošanai virzīto noteikumu projektu “Grozījumi Ministru kabineta 2016. gada 1. marta noteikumos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sadarbībā ar akciju sabiedrību "Attīstības finanšu institūcija Altum" sagatavot grozījumus programmas "Aizdevumi sīko (mikro), mazo un vidējo saimnieciskās darbības veicēju un lauksaimniecības un mežsaimniecības pakalpojumu kooperatīvo sabiedrību attīstības veicināšanai" rādītāju novērtējumā (pieņemts Ministru kabineta 2021. gada 16. novembra sēdē (prot. Nr. 75) saskaņā ar Attīstības finanšu institūcijas likuma 12. panta trešās daļas prasībām un 1 mēneša laikā pēc Ministru kabineta noteikumu grozījumu stāšanās spēkā iesniegt tos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3. punktu, jo atbilstoši Attīstības finanšu institūcijas likuma 12. panta trešās daļas prasībām finanšu institūcija pirms programmas apstiprināšanas Ministru kabinetā novērtē programmas ietekmi, riskus un sagaidāmos zaudējumus, finansiālos rezultātus un programmas īstenošanas izmaksas, proti, tiek veikts programmas novērtējums atbilstoši aktuālajai situācijai, nevis veikti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22-TA-3417</w:t>
    </w:r>
    <w:r>
      <w:br/>
    </w:r>
    <w:r w:rsidR="00000000" w:rsidRPr="00000000" w:rsidDel="00000000">
      <w:rPr>
        <w:rtl w:val="0"/>
      </w:rPr>
      <w:t xml:space="preserve">Izdrukāts 28.12.2022.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22-TA-3417</w:t>
    </w:r>
    <w:r>
      <w:br/>
    </w:r>
    <w:r w:rsidR="00000000" w:rsidRPr="00000000" w:rsidDel="00000000">
      <w:rPr>
        <w:rtl w:val="0"/>
      </w:rPr>
      <w:t xml:space="preserve">Izdrukāts 28.12.2022.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Atzinumi_22-TA-3417.docx</dc:title>
</cp:coreProperties>
</file>

<file path=docProps/custom.xml><?xml version="1.0" encoding="utf-8"?>
<Properties xmlns="http://schemas.openxmlformats.org/officeDocument/2006/custom-properties" xmlns:vt="http://schemas.openxmlformats.org/officeDocument/2006/docPropsVTypes"/>
</file>