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Kopējās lauksaimniecības politikas stratēģiskā plāna 2023.-2027. gadam mērķvērtību sasniegšanas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Kopējās lauksaimniecības politikas stratēģiskā plāna 2023.-2027.gadam mērķvērtību sasniegšanas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kādi bija iemesli tam, ka 2024.gadā noteiktās jomās netika sasniegti plānotie ikgadējie rezultātu rādītāji un vai ir plānoti kādi papildu pasākumi, lai šos rādītājus sasniegtu nākamajā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Kopējās lauksaimniecības politikas stratēģiskā plāna 2023.-2027.gadam mērķvērtību sasniegšanas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uzkrāt datus par KLP SP atbalsta intervenču rādītājiem un sekot līdzi sniegumam gan kopējā valsts kontekstā, gan izdalot datus par katru reģionu atsevišķi.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Ozdemira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01.12.2025.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01.12.2025.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Atzinumi_25-TA-2564.docx</dc:title>
</cp:coreProperties>
</file>

<file path=docProps/custom.xml><?xml version="1.0" encoding="utf-8"?>
<Properties xmlns="http://schemas.openxmlformats.org/officeDocument/2006/custom-properties" xmlns:vt="http://schemas.openxmlformats.org/officeDocument/2006/docPropsVTypes"/>
</file>