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23-TA-736: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5. maija noteikumos Nr. 413 "Noteikumi par gada publiskajiem pārskatiem"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12.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 Pašvaldību likumprojekta izstrādes un saskaņošanas procesā (skat. Pašvaldību likuma anotāciju) vērsa uzmanību un norādīja – lai veicinātu efektīvu pašvaldības piešķirtās dotācijas izlietojuma uzraudzību, proti, lietderīgu pašvaldības budžeta līdzekļu izlietojumu, pašvaldības gada publiskajā pārskatā būtu</w:t>
            </w:r>
            <w:r w:rsidR="00000000" w:rsidRPr="00000000" w:rsidDel="00000000">
              <w:rPr>
                <w:u w:val="single"/>
                <w:rtl w:val="0"/>
              </w:rPr>
              <w:t xml:space="preserve"> jāiekļauj informācija par finanšu līdzekļu piešķiršanu biedrībām, nodibinājumiem, arodbiedrībām, reliģiskām organizācijām un sociālajiem uzņēmumie</w:t>
            </w:r>
            <w:r w:rsidR="00000000" w:rsidRPr="00000000" w:rsidDel="00000000">
              <w:rPr>
                <w:rtl w:val="0"/>
              </w:rPr>
              <w:t xml:space="preserve">m, norādot katra finanšu piešķīruma apmēru un mērķi, kā arī piešķirto finanšu līdzekļu izlietojuma rezultātu, ciktāl tie sasniegti iepriekšējā gadā. Tā kā Pašvaldību likumā netika paredzēts iekļaut prasības pašvaldības gada publiskā pārskata sagatavošanai un tā saturam, bet norādīts uz to aktualitāti šī noteikumu projekta ietvaros, lūdzam attiecīgi precizēt noteikumu projekta 6. punktā ietverto noteikumu 12.8.3. apakšpunktu atbilstoši iepriekšminētajam informācijas apjomam.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Bernharde (KNAB)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12.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Ministru kabineta 2017. gada 17. oktobra noteikumi Nr. 630 “Noteikumi par iekšējās kontroles sistēmas pamatprasībām korupcijas un interešu konflikta riska novēršanai publiskas personas institūcijā” nosaka iekšējās kontroles sistēmas pamatprasības korupcijas un interešu konflikta riska novēršanai publiskas personas institūcijā, t.i., arī pašvaldībās. Vēršam uzmanību, ka atbilstoši noteikumu projekta 1. punktā paredzētajiem grozījumiem Ministru kabineta 2010. gada 5. maija noteikumu Nr.413 “Noteikumi par gada publiskajiem pārskatiem” (turpmāk – noteikumi Nr. 413) 1. punktā veidojas situācija, ka noteikumu Nr. 413 6.10. apakšpunktā izvirzītā prasība par gada publiskajā pārskatā (turpmāk – pārskats) iekļaujamo informāciju par iestādes vadības un darbības uzlabošanas sistēmām efektīvas darbības nodrošināšanai (piemēram, iekšējā kontrole, kvalitātes vadība, iekšējais audits, riska vadība, iespējamās korupcijas novēršana) turpmāk būs saistoša tikai ministrijām un citām centrālajām valsts iestādēm, visām to padotībā esošajām budžeta finansētajām institūcijām, budžeta nefinansētajām iestādēm (turpmāk – iestādes), bet ne pašvaldībām, kā tas bijis līdz šim.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noteikumu projekta 6. punktā ietverto noteikumu Nr. 413 12.7. apakšpunktu, nosakot prasību arī pašvaldībām savos pārskatos norādīt noteikumu Nr. 413 6.10. apakšpunktā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biroja redzējumā iestāžu un pašvaldību pārskatos ietvertā informācija par korupcijas un interešu konflikta riska novēršanas pasākumiem ir kā apliecinājums labas pārvaldības priekšnosacījumu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Bernharde (KNAB)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23-TA-736</w:t>
    </w:r>
    <w:r>
      <w:br/>
    </w:r>
    <w:r w:rsidR="00000000" w:rsidRPr="00000000" w:rsidDel="00000000">
      <w:rPr>
        <w:rtl w:val="0"/>
      </w:rPr>
      <w:t xml:space="preserve">Izdrukāts 26.04.2023. 16.44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23-TA-736</w:t>
    </w:r>
    <w:r>
      <w:br/>
    </w:r>
    <w:r w:rsidR="00000000" w:rsidRPr="00000000" w:rsidDel="00000000">
      <w:rPr>
        <w:rtl w:val="0"/>
      </w:rPr>
      <w:t xml:space="preserve">Izdrukāts 26.04.2023. 16.44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Atzinumi_23-TA-736.docx</dc:title>
</cp:coreProperties>
</file>

<file path=docProps/custom.xml><?xml version="1.0" encoding="utf-8"?>
<Properties xmlns="http://schemas.openxmlformats.org/officeDocument/2006/custom-properties" xmlns:vt="http://schemas.openxmlformats.org/officeDocument/2006/docPropsVTypes"/>
</file>