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speciālās regulatīvās vides izveidi un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komersants sniedzis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un Aģentūra, izvērtējot, ka komersants neatbilst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piecu darbdienu laikā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pieteikuma saņemšanas to pārsūta par speciālās regulatīvās vides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sniedzis šo noteikumu 6. punktā noteikto informāciju un Aģentūra, izvērtējot, ka komersants atbilst 3.punkta kritērijiem un neatbilst šo noteikumu 4. punktam, piecu darbdienu laikā pēc šo noteikumu 5. punktā minētā pieteikuma saņemšanas to pārsūta par speciālās regulatīvās vides īstenošanas jomu atbildīgajai nozares ministrijai (turpmāk –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Marts Kreitiņš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viena mēneša laikā pēc pieteikuma saņemšanas no Aģentūras, izvērtējot komersanta pieteikumu , bet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Marts Kreitiņš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26.09.2024.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26.09.2024.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