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pēc Eiropas Komisijas pozitīva atzinuma saņemšanas, tās pamatkapitālā iegulda Rīgas brīvostas pārvaldei piederošo mantu un aktīvus. Rīgas pašvaldībai bez atlīdzības tiek nodoti 40 procenti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pēc Eiropas Komisijas pozitīva atzinuma saņemšanas, iegulda Ventspils brīvostas pārvaldei piederošo mantu un aktīvus. Ja Ventspils pašvaldība ir izteikusi piekrišanu, tad valsts bez atlīdzības tai nodod akciju sabiedrības "Ventas osta" 40 procenti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kādu apsvēru dēļ Ventspils brīvostas pārvaldei valdījumā ir ievērojams Ventspils  pašvaldības nekustamā īpašuma objektu skaits, kas  neatbilst Ventspils brīvostas pārvalde darbības funkcijām un turpmāk arī nebūs vajadzīgs akciju sabiedrībai «Ventas osta» ar ostas darbību saistīto valsts pārvaldes funkciju izpildei. Nav pamatojuma pašvaldības ekonomiskā pamata aizskārumam , kā rezultātā pašvaldība negūst ieņēmumus no sava īpašuma izmantošanas. Vēršam uzmanību uz to ,ka pirms grozījumiem Ostu likumā  toreizējā Ventspils brīvostas pārvalde pašvaldības mantu izmantoja nevis privāto tiesību jomā, bet gan publiskas funkcijas veikšanai – pašvaldības manta tika iznomāta komersantiem, bet iegūtie finanšu līdzekļi tika izmantoti tikai, lai uzturētu un attīstītu Ventspils ostu, nodrošinot Eiropas  Transporta tīkla pamattīkla efektīvu darbību un Latvijas transporta koridora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Ventspils pilsētas domes viedoklim, ka likumprojektā paredzētais Ostu likuma pārejas noteikumu 16. punkta 2. apakšpunkts  ierobežo   pašvaldību  tiesības uz līdzvērtīgiem pamatiem piedalīties akciju sabiedrības «Ventas osta» pārvaldībā, kas apsaimnieko milzīgu pašvaldības īpašumu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 punktā izteikt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pēc Eiropas Komisijas pozitīva atzinuma saņemšanas, tās pamatkapitālā iegulda Rīgas brīvostas pārvaldei piederošo mantu un aktīvus. Rīgas pašvaldībai bez atlīdzības tiek nodoti 40 procenti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pēc Eiropas Komisijas pozitīva atzinuma saņemšanas, iegulda Ventspils brīvostas pārvaldei piederošo mantu un aktīvus. Ja Ventspils pašvaldība ir izteikusi piekrišanu, tad valsts bez atlīdzības tai nodod akciju sabiedrības "Ventas osta" 40 procenti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7. panta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04.07.2023.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04.07.2023.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